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6EB63" w14:textId="77777777" w:rsidR="00771565" w:rsidRPr="00771565" w:rsidRDefault="00771565" w:rsidP="00771565">
      <w:pPr>
        <w:pBdr>
          <w:bottom w:val="single" w:sz="6" w:space="5" w:color="auto"/>
        </w:pBdr>
        <w:shd w:val="clear" w:color="auto" w:fill="FFFFFF"/>
        <w:spacing w:before="150" w:after="60" w:line="240" w:lineRule="auto"/>
        <w:outlineLvl w:val="0"/>
        <w:rPr>
          <w:rFonts w:ascii="Century Gothic" w:eastAsia="Times New Roman" w:hAnsi="Century Gothic" w:cs="Times New Roman"/>
          <w:b/>
          <w:bCs/>
          <w:caps/>
          <w:color w:val="048F38"/>
          <w:kern w:val="36"/>
          <w:sz w:val="30"/>
          <w:szCs w:val="30"/>
        </w:rPr>
      </w:pPr>
      <w:r w:rsidRPr="00771565">
        <w:rPr>
          <w:rFonts w:ascii="Century Gothic" w:eastAsia="Times New Roman" w:hAnsi="Century Gothic" w:cs="Times New Roman"/>
          <w:b/>
          <w:bCs/>
          <w:caps/>
          <w:color w:val="048F38"/>
          <w:kern w:val="36"/>
          <w:sz w:val="30"/>
          <w:szCs w:val="30"/>
        </w:rPr>
        <w:t>GHANA</w:t>
      </w:r>
    </w:p>
    <w:p w14:paraId="5EC13F81" w14:textId="77777777" w:rsidR="00771565" w:rsidRPr="00771565" w:rsidRDefault="00771565" w:rsidP="00771565">
      <w:pPr>
        <w:shd w:val="clear" w:color="auto" w:fill="FFFFFF"/>
        <w:spacing w:after="0" w:line="240" w:lineRule="auto"/>
        <w:rPr>
          <w:rFonts w:ascii="Georgia" w:eastAsia="Times New Roman" w:hAnsi="Georgia" w:cs="Times New Roman"/>
          <w:color w:val="2A2A2A"/>
          <w:sz w:val="21"/>
          <w:szCs w:val="21"/>
        </w:rPr>
      </w:pPr>
      <w:r w:rsidRPr="00771565">
        <w:rPr>
          <w:rFonts w:ascii="Georgia" w:eastAsia="Times New Roman" w:hAnsi="Georgia" w:cs="Times New Roman"/>
          <w:color w:val="2A2A2A"/>
          <w:sz w:val="21"/>
          <w:szCs w:val="21"/>
        </w:rPr>
        <w:t>The rise of Ghana, the medieval kingdom that enjoyed prominence from roughly 500-1200 CE in the site of present-day Mali, was inextricably bound to the burgeoning trans-Saharan trade linking the Berbers of North Africa with the people of </w:t>
      </w:r>
      <w:r w:rsidRPr="00771565">
        <w:rPr>
          <w:rFonts w:ascii="Georgia" w:eastAsia="Times New Roman" w:hAnsi="Georgia" w:cs="Times New Roman"/>
          <w:i/>
          <w:iCs/>
          <w:color w:val="2A2A2A"/>
          <w:sz w:val="21"/>
          <w:szCs w:val="21"/>
        </w:rPr>
        <w:t>al-Sudan</w:t>
      </w:r>
      <w:r w:rsidRPr="00771565">
        <w:rPr>
          <w:rFonts w:ascii="Georgia" w:eastAsia="Times New Roman" w:hAnsi="Georgia" w:cs="Times New Roman"/>
          <w:color w:val="2A2A2A"/>
          <w:sz w:val="21"/>
          <w:szCs w:val="21"/>
        </w:rPr>
        <w:t xml:space="preserve">, or “land of the Blacks.”  The Soninke, the principal ethnic group that founded Ghana, traded an abundant supply of gold for Islamic Berber items including salt and textiles, making the most use of the revolutionary impact that camels had on commerce.  Occasionally, the Soninke also traded captives taken from rival societies in raids to the Berbers and later Arabs.  Ghanaian kings made a point of keeping the source of the gold deposits a carefully guarded secret.  These deposits could be found in the interior, in the </w:t>
      </w:r>
      <w:proofErr w:type="spellStart"/>
      <w:r w:rsidRPr="00771565">
        <w:rPr>
          <w:rFonts w:ascii="Georgia" w:eastAsia="Times New Roman" w:hAnsi="Georgia" w:cs="Times New Roman"/>
          <w:color w:val="2A2A2A"/>
          <w:sz w:val="21"/>
          <w:szCs w:val="21"/>
        </w:rPr>
        <w:t>Bambuk</w:t>
      </w:r>
      <w:proofErr w:type="spellEnd"/>
      <w:r w:rsidRPr="00771565">
        <w:rPr>
          <w:rFonts w:ascii="Georgia" w:eastAsia="Times New Roman" w:hAnsi="Georgia" w:cs="Times New Roman"/>
          <w:color w:val="2A2A2A"/>
          <w:sz w:val="21"/>
          <w:szCs w:val="21"/>
        </w:rPr>
        <w:t xml:space="preserve"> and Bure mines near the Senegal River.  Trading only gold dust and not the core metal, the kingdom was able to flourish for several centuries.  As the number of Muslim merchants visiting Ghana grew almost exponentially during this period, an effort was made to accommodate the tension between Islam, which was spreading rapidly during this period, and indigenous Soninke culture.   </w:t>
      </w:r>
      <w:proofErr w:type="gramStart"/>
      <w:r w:rsidRPr="00771565">
        <w:rPr>
          <w:rFonts w:ascii="Georgia" w:eastAsia="Times New Roman" w:hAnsi="Georgia" w:cs="Times New Roman"/>
          <w:color w:val="2A2A2A"/>
          <w:sz w:val="21"/>
          <w:szCs w:val="21"/>
        </w:rPr>
        <w:t>The end result</w:t>
      </w:r>
      <w:proofErr w:type="gramEnd"/>
      <w:r w:rsidRPr="00771565">
        <w:rPr>
          <w:rFonts w:ascii="Georgia" w:eastAsia="Times New Roman" w:hAnsi="Georgia" w:cs="Times New Roman"/>
          <w:color w:val="2A2A2A"/>
          <w:sz w:val="21"/>
          <w:szCs w:val="21"/>
        </w:rPr>
        <w:t xml:space="preserve"> was </w:t>
      </w:r>
      <w:proofErr w:type="spellStart"/>
      <w:r w:rsidRPr="00771565">
        <w:rPr>
          <w:rFonts w:ascii="Georgia" w:eastAsia="Times New Roman" w:hAnsi="Georgia" w:cs="Times New Roman"/>
          <w:color w:val="2A2A2A"/>
          <w:sz w:val="21"/>
          <w:szCs w:val="21"/>
        </w:rPr>
        <w:t>Kumbi</w:t>
      </w:r>
      <w:proofErr w:type="spellEnd"/>
      <w:r w:rsidRPr="00771565">
        <w:rPr>
          <w:rFonts w:ascii="Georgia" w:eastAsia="Times New Roman" w:hAnsi="Georgia" w:cs="Times New Roman"/>
          <w:color w:val="2A2A2A"/>
          <w:sz w:val="21"/>
          <w:szCs w:val="21"/>
        </w:rPr>
        <w:t>-Saleh, Ghana’s capital.</w:t>
      </w:r>
    </w:p>
    <w:p w14:paraId="36AE3286" w14:textId="77777777" w:rsidR="00771565" w:rsidRPr="00771565" w:rsidRDefault="00771565" w:rsidP="00771565">
      <w:pPr>
        <w:shd w:val="clear" w:color="auto" w:fill="FFFFFF"/>
        <w:spacing w:after="0" w:line="240" w:lineRule="auto"/>
        <w:rPr>
          <w:rFonts w:ascii="Georgia" w:eastAsia="Times New Roman" w:hAnsi="Georgia" w:cs="Times New Roman"/>
          <w:color w:val="2A2A2A"/>
          <w:sz w:val="21"/>
          <w:szCs w:val="21"/>
        </w:rPr>
      </w:pPr>
      <w:r w:rsidRPr="00771565">
        <w:rPr>
          <w:rFonts w:ascii="Georgia" w:eastAsia="Times New Roman" w:hAnsi="Georgia" w:cs="Times New Roman"/>
          <w:color w:val="2A2A2A"/>
          <w:sz w:val="21"/>
          <w:szCs w:val="21"/>
        </w:rPr>
        <w:t> </w:t>
      </w:r>
    </w:p>
    <w:p w14:paraId="53D4FF6B" w14:textId="77777777" w:rsidR="00771565" w:rsidRPr="00771565" w:rsidRDefault="00771565" w:rsidP="00771565">
      <w:pPr>
        <w:shd w:val="clear" w:color="auto" w:fill="FFFFFF"/>
        <w:spacing w:after="0" w:line="240" w:lineRule="auto"/>
        <w:rPr>
          <w:rFonts w:ascii="Georgia" w:eastAsia="Times New Roman" w:hAnsi="Georgia" w:cs="Times New Roman"/>
          <w:color w:val="2A2A2A"/>
          <w:sz w:val="21"/>
          <w:szCs w:val="21"/>
        </w:rPr>
      </w:pPr>
      <w:r w:rsidRPr="00771565">
        <w:rPr>
          <w:rFonts w:ascii="Georgia" w:eastAsia="Times New Roman" w:hAnsi="Georgia" w:cs="Times New Roman"/>
          <w:color w:val="2A2A2A"/>
          <w:sz w:val="21"/>
          <w:szCs w:val="21"/>
        </w:rPr>
        <w:t xml:space="preserve">The twin cities of </w:t>
      </w:r>
      <w:proofErr w:type="spellStart"/>
      <w:r w:rsidRPr="00771565">
        <w:rPr>
          <w:rFonts w:ascii="Georgia" w:eastAsia="Times New Roman" w:hAnsi="Georgia" w:cs="Times New Roman"/>
          <w:color w:val="2A2A2A"/>
          <w:sz w:val="21"/>
          <w:szCs w:val="21"/>
        </w:rPr>
        <w:t>Kumbi</w:t>
      </w:r>
      <w:proofErr w:type="spellEnd"/>
      <w:r w:rsidRPr="00771565">
        <w:rPr>
          <w:rFonts w:ascii="Georgia" w:eastAsia="Times New Roman" w:hAnsi="Georgia" w:cs="Times New Roman"/>
          <w:color w:val="2A2A2A"/>
          <w:sz w:val="21"/>
          <w:szCs w:val="21"/>
        </w:rPr>
        <w:t xml:space="preserve">-Saleh could not be more different culturally.  Similar in some respects to twin municipalities in the United States such as Minneapolis-Saint Paul, </w:t>
      </w:r>
      <w:proofErr w:type="spellStart"/>
      <w:r w:rsidRPr="00771565">
        <w:rPr>
          <w:rFonts w:ascii="Georgia" w:eastAsia="Times New Roman" w:hAnsi="Georgia" w:cs="Times New Roman"/>
          <w:color w:val="2A2A2A"/>
          <w:sz w:val="21"/>
          <w:szCs w:val="21"/>
        </w:rPr>
        <w:t>Kumbi</w:t>
      </w:r>
      <w:proofErr w:type="spellEnd"/>
      <w:r w:rsidRPr="00771565">
        <w:rPr>
          <w:rFonts w:ascii="Georgia" w:eastAsia="Times New Roman" w:hAnsi="Georgia" w:cs="Times New Roman"/>
          <w:color w:val="2A2A2A"/>
          <w:sz w:val="21"/>
          <w:szCs w:val="21"/>
        </w:rPr>
        <w:t xml:space="preserve">-Saleh represented both autonomy and duality.  The indigenous Soninke culture thrived in </w:t>
      </w:r>
      <w:proofErr w:type="spellStart"/>
      <w:r w:rsidRPr="00771565">
        <w:rPr>
          <w:rFonts w:ascii="Georgia" w:eastAsia="Times New Roman" w:hAnsi="Georgia" w:cs="Times New Roman"/>
          <w:color w:val="2A2A2A"/>
          <w:sz w:val="21"/>
          <w:szCs w:val="21"/>
        </w:rPr>
        <w:t>Kumbi</w:t>
      </w:r>
      <w:proofErr w:type="spellEnd"/>
      <w:r w:rsidRPr="00771565">
        <w:rPr>
          <w:rFonts w:ascii="Georgia" w:eastAsia="Times New Roman" w:hAnsi="Georgia" w:cs="Times New Roman"/>
          <w:color w:val="2A2A2A"/>
          <w:sz w:val="21"/>
          <w:szCs w:val="21"/>
        </w:rPr>
        <w:t xml:space="preserve">, complete with traditional architecture and language.  Only a few miles of gold laden road away, Saleh served as home to Arab and Berber traders.  Its architecture was unapologetically Islamic, and the city housed several mosques.  Muslim visitors to Ghana, including the celebrated geographer and cartographer Abu Abd Allah Muhammad Al-Idrisi, spoke with wonder of the sheer amount of gold on display throughout the Ghanaian capital.  Kings such as </w:t>
      </w:r>
      <w:proofErr w:type="spellStart"/>
      <w:r w:rsidRPr="00771565">
        <w:rPr>
          <w:rFonts w:ascii="Georgia" w:eastAsia="Times New Roman" w:hAnsi="Georgia" w:cs="Times New Roman"/>
          <w:color w:val="2A2A2A"/>
          <w:sz w:val="21"/>
          <w:szCs w:val="21"/>
        </w:rPr>
        <w:t>Tenkamenin</w:t>
      </w:r>
      <w:proofErr w:type="spellEnd"/>
      <w:r w:rsidRPr="00771565">
        <w:rPr>
          <w:rFonts w:ascii="Georgia" w:eastAsia="Times New Roman" w:hAnsi="Georgia" w:cs="Times New Roman"/>
          <w:color w:val="2A2A2A"/>
          <w:sz w:val="21"/>
          <w:szCs w:val="21"/>
        </w:rPr>
        <w:t xml:space="preserve">, who ruled from 1062-1076, insured that the bustling trans-Saharan trade continued uninterrupted by providing military protection for the steady stream of camel caravans that crisscrossed the desert (Davidson 1998, 26—32; Stride and </w:t>
      </w:r>
      <w:proofErr w:type="spellStart"/>
      <w:r w:rsidRPr="00771565">
        <w:rPr>
          <w:rFonts w:ascii="Georgia" w:eastAsia="Times New Roman" w:hAnsi="Georgia" w:cs="Times New Roman"/>
          <w:color w:val="2A2A2A"/>
          <w:sz w:val="21"/>
          <w:szCs w:val="21"/>
        </w:rPr>
        <w:t>Ifeka</w:t>
      </w:r>
      <w:proofErr w:type="spellEnd"/>
      <w:r w:rsidRPr="00771565">
        <w:rPr>
          <w:rFonts w:ascii="Georgia" w:eastAsia="Times New Roman" w:hAnsi="Georgia" w:cs="Times New Roman"/>
          <w:color w:val="2A2A2A"/>
          <w:sz w:val="21"/>
          <w:szCs w:val="21"/>
        </w:rPr>
        <w:t xml:space="preserve"> 1971, 38—45).</w:t>
      </w:r>
    </w:p>
    <w:p w14:paraId="6A37E9AA" w14:textId="2D578350" w:rsidR="00413EB6" w:rsidRDefault="00413EB6" w:rsidP="00771565"/>
    <w:p w14:paraId="0085B05C" w14:textId="77777777" w:rsidR="00337631" w:rsidRPr="00337631" w:rsidRDefault="00337631" w:rsidP="00337631">
      <w:pPr>
        <w:pBdr>
          <w:bottom w:val="single" w:sz="6" w:space="5" w:color="auto"/>
        </w:pBdr>
        <w:shd w:val="clear" w:color="auto" w:fill="FFFFFF"/>
        <w:spacing w:before="150" w:after="60" w:line="240" w:lineRule="auto"/>
        <w:outlineLvl w:val="0"/>
        <w:rPr>
          <w:rFonts w:ascii="Century Gothic" w:eastAsia="Times New Roman" w:hAnsi="Century Gothic" w:cs="Times New Roman"/>
          <w:b/>
          <w:bCs/>
          <w:caps/>
          <w:color w:val="048F38"/>
          <w:kern w:val="36"/>
          <w:sz w:val="30"/>
          <w:szCs w:val="30"/>
        </w:rPr>
      </w:pPr>
      <w:r w:rsidRPr="00337631">
        <w:rPr>
          <w:rFonts w:ascii="Century Gothic" w:eastAsia="Times New Roman" w:hAnsi="Century Gothic" w:cs="Times New Roman"/>
          <w:b/>
          <w:bCs/>
          <w:caps/>
          <w:color w:val="048F38"/>
          <w:kern w:val="36"/>
          <w:sz w:val="30"/>
          <w:szCs w:val="30"/>
        </w:rPr>
        <w:t>MALI</w:t>
      </w:r>
    </w:p>
    <w:p w14:paraId="23CB7A63"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The Kingdom of Mali supplanted Ghana as the epicenter of West African rule from roughly 1235-1500 CE.  A key figure in this development was Sundiata (</w:t>
      </w:r>
      <w:proofErr w:type="spellStart"/>
      <w:r w:rsidRPr="00337631">
        <w:rPr>
          <w:rFonts w:ascii="Georgia" w:eastAsia="Times New Roman" w:hAnsi="Georgia" w:cs="Times New Roman"/>
          <w:color w:val="2A2A2A"/>
          <w:sz w:val="21"/>
          <w:szCs w:val="21"/>
        </w:rPr>
        <w:t>Sundjata</w:t>
      </w:r>
      <w:proofErr w:type="spellEnd"/>
      <w:r w:rsidRPr="00337631">
        <w:rPr>
          <w:rFonts w:ascii="Georgia" w:eastAsia="Times New Roman" w:hAnsi="Georgia" w:cs="Times New Roman"/>
          <w:color w:val="2A2A2A"/>
          <w:sz w:val="21"/>
          <w:szCs w:val="21"/>
        </w:rPr>
        <w:t>), a </w:t>
      </w:r>
      <w:proofErr w:type="spellStart"/>
      <w:r w:rsidRPr="00337631">
        <w:rPr>
          <w:rFonts w:ascii="Georgia" w:eastAsia="Times New Roman" w:hAnsi="Georgia" w:cs="Times New Roman"/>
          <w:i/>
          <w:iCs/>
          <w:color w:val="2A2A2A"/>
          <w:sz w:val="21"/>
          <w:szCs w:val="21"/>
        </w:rPr>
        <w:t>mansa</w:t>
      </w:r>
      <w:proofErr w:type="spellEnd"/>
      <w:r w:rsidRPr="00337631">
        <w:rPr>
          <w:rFonts w:ascii="Georgia" w:eastAsia="Times New Roman" w:hAnsi="Georgia" w:cs="Times New Roman"/>
          <w:color w:val="2A2A2A"/>
          <w:sz w:val="21"/>
          <w:szCs w:val="21"/>
        </w:rPr>
        <w:t xml:space="preserve"> or village chief, of the </w:t>
      </w:r>
      <w:proofErr w:type="spellStart"/>
      <w:r w:rsidRPr="00337631">
        <w:rPr>
          <w:rFonts w:ascii="Georgia" w:eastAsia="Times New Roman" w:hAnsi="Georgia" w:cs="Times New Roman"/>
          <w:color w:val="2A2A2A"/>
          <w:sz w:val="21"/>
          <w:szCs w:val="21"/>
        </w:rPr>
        <w:t>Malinke</w:t>
      </w:r>
      <w:proofErr w:type="spellEnd"/>
      <w:r w:rsidRPr="00337631">
        <w:rPr>
          <w:rFonts w:ascii="Georgia" w:eastAsia="Times New Roman" w:hAnsi="Georgia" w:cs="Times New Roman"/>
          <w:color w:val="2A2A2A"/>
          <w:sz w:val="21"/>
          <w:szCs w:val="21"/>
        </w:rPr>
        <w:t xml:space="preserve"> people.  Sundiata was the founding hero of Mali’s medieval empire.  In </w:t>
      </w:r>
      <w:proofErr w:type="spellStart"/>
      <w:r w:rsidRPr="00337631">
        <w:rPr>
          <w:rFonts w:ascii="Georgia" w:eastAsia="Times New Roman" w:hAnsi="Georgia" w:cs="Times New Roman"/>
          <w:color w:val="2A2A2A"/>
          <w:sz w:val="21"/>
          <w:szCs w:val="21"/>
        </w:rPr>
        <w:t>Malinke</w:t>
      </w:r>
      <w:proofErr w:type="spellEnd"/>
      <w:r w:rsidRPr="00337631">
        <w:rPr>
          <w:rFonts w:ascii="Georgia" w:eastAsia="Times New Roman" w:hAnsi="Georgia" w:cs="Times New Roman"/>
          <w:color w:val="2A2A2A"/>
          <w:sz w:val="21"/>
          <w:szCs w:val="21"/>
        </w:rPr>
        <w:t xml:space="preserve"> culture </w:t>
      </w:r>
      <w:proofErr w:type="spellStart"/>
      <w:r w:rsidRPr="00337631">
        <w:rPr>
          <w:rFonts w:ascii="Georgia" w:eastAsia="Times New Roman" w:hAnsi="Georgia" w:cs="Times New Roman"/>
          <w:color w:val="2A2A2A"/>
          <w:sz w:val="21"/>
          <w:szCs w:val="21"/>
        </w:rPr>
        <w:t>mansas</w:t>
      </w:r>
      <w:proofErr w:type="spellEnd"/>
      <w:r w:rsidRPr="00337631">
        <w:rPr>
          <w:rFonts w:ascii="Georgia" w:eastAsia="Times New Roman" w:hAnsi="Georgia" w:cs="Times New Roman"/>
          <w:color w:val="2A2A2A"/>
          <w:sz w:val="21"/>
          <w:szCs w:val="21"/>
        </w:rPr>
        <w:t xml:space="preserve"> enjoyed the privilege of being the guardians of the “sprits of the land.”  As such, their constituents viewed them as both secular and religious leaders.  As Islam came to dominate the landscape, leaders such as Sundiata accepted it nominally, however, not at the expense of abandoning traditional religious practices among the </w:t>
      </w:r>
      <w:proofErr w:type="spellStart"/>
      <w:r w:rsidRPr="00337631">
        <w:rPr>
          <w:rFonts w:ascii="Georgia" w:eastAsia="Times New Roman" w:hAnsi="Georgia" w:cs="Times New Roman"/>
          <w:color w:val="2A2A2A"/>
          <w:sz w:val="21"/>
          <w:szCs w:val="21"/>
        </w:rPr>
        <w:t>Malinke</w:t>
      </w:r>
      <w:proofErr w:type="spellEnd"/>
      <w:r w:rsidRPr="00337631">
        <w:rPr>
          <w:rFonts w:ascii="Georgia" w:eastAsia="Times New Roman" w:hAnsi="Georgia" w:cs="Times New Roman"/>
          <w:color w:val="2A2A2A"/>
          <w:sz w:val="21"/>
          <w:szCs w:val="21"/>
        </w:rPr>
        <w:t xml:space="preserve">.  Sundiata established an efficient governance structure run by literate Muslim bureaucrats, most of whom were </w:t>
      </w:r>
      <w:proofErr w:type="spellStart"/>
      <w:r w:rsidRPr="00337631">
        <w:rPr>
          <w:rFonts w:ascii="Georgia" w:eastAsia="Times New Roman" w:hAnsi="Georgia" w:cs="Times New Roman"/>
          <w:color w:val="2A2A2A"/>
          <w:sz w:val="21"/>
          <w:szCs w:val="21"/>
        </w:rPr>
        <w:t>Malinke</w:t>
      </w:r>
      <w:proofErr w:type="spellEnd"/>
      <w:r w:rsidRPr="00337631">
        <w:rPr>
          <w:rFonts w:ascii="Georgia" w:eastAsia="Times New Roman" w:hAnsi="Georgia" w:cs="Times New Roman"/>
          <w:color w:val="2A2A2A"/>
          <w:sz w:val="21"/>
          <w:szCs w:val="21"/>
        </w:rPr>
        <w:t xml:space="preserve">, with a few Arabs as well.  Citizens offered tribute and the government levied taxes on its lucrative trading ventures, funds that supported the bureaucracy and provided for a large standing army.   Unlike its predecessor Ghana, Mali was strong agriculturally, exporting staple grains such as sorghum and cereals such as millet.  These crops were augmented by rice grown in the Gambia valley and the continued trade in gold across the Sahara (Stride and </w:t>
      </w:r>
      <w:proofErr w:type="spellStart"/>
      <w:r w:rsidRPr="00337631">
        <w:rPr>
          <w:rFonts w:ascii="Georgia" w:eastAsia="Times New Roman" w:hAnsi="Georgia" w:cs="Times New Roman"/>
          <w:color w:val="2A2A2A"/>
          <w:sz w:val="21"/>
          <w:szCs w:val="21"/>
        </w:rPr>
        <w:t>Ifeka</w:t>
      </w:r>
      <w:proofErr w:type="spellEnd"/>
      <w:r w:rsidRPr="00337631">
        <w:rPr>
          <w:rFonts w:ascii="Georgia" w:eastAsia="Times New Roman" w:hAnsi="Georgia" w:cs="Times New Roman"/>
          <w:color w:val="2A2A2A"/>
          <w:sz w:val="21"/>
          <w:szCs w:val="21"/>
        </w:rPr>
        <w:t xml:space="preserve"> 1971, 47—63). Sundiata’s descendants launched Mali’s first trans-Atlantic voyages in the early 1300s, almost two centuries before Christopher Columbus sailed along the same Atlantic currents (</w:t>
      </w:r>
      <w:proofErr w:type="spellStart"/>
      <w:r w:rsidRPr="00337631">
        <w:rPr>
          <w:rFonts w:ascii="Georgia" w:eastAsia="Times New Roman" w:hAnsi="Georgia" w:cs="Times New Roman"/>
          <w:color w:val="2A2A2A"/>
          <w:sz w:val="21"/>
          <w:szCs w:val="21"/>
        </w:rPr>
        <w:t>Khapoya</w:t>
      </w:r>
      <w:proofErr w:type="spellEnd"/>
      <w:r w:rsidRPr="00337631">
        <w:rPr>
          <w:rFonts w:ascii="Georgia" w:eastAsia="Times New Roman" w:hAnsi="Georgia" w:cs="Times New Roman"/>
          <w:color w:val="2A2A2A"/>
          <w:sz w:val="21"/>
          <w:szCs w:val="21"/>
        </w:rPr>
        <w:t xml:space="preserve"> 2012, 73)</w:t>
      </w:r>
    </w:p>
    <w:p w14:paraId="5022EDF3"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670F5B47"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Arguably, the most celebrated ruler of Mali was Sundiata’s grandson, the legendary Mansa Kankan Musa or Musa I (1280-1337), a charismatic visionary whose name became synonymous with wealth throughout much of Africa, the Mediterranean and Europe during his reign.  Unlike his grandfather, Mansa Musa came to embrace Islam wholeheartedly.  Assembling an entourage of over a thousand people with a caravan of 100 camels, beginning in 1324 Mansa Musa embarked on the hajj, the annual pilgrimage of Muslims to Mecca in Arabia.    He and members of his entourage showered </w:t>
      </w:r>
      <w:r w:rsidRPr="00337631">
        <w:rPr>
          <w:rFonts w:ascii="Georgia" w:eastAsia="Times New Roman" w:hAnsi="Georgia" w:cs="Times New Roman"/>
          <w:color w:val="2A2A2A"/>
          <w:sz w:val="21"/>
          <w:szCs w:val="21"/>
        </w:rPr>
        <w:lastRenderedPageBreak/>
        <w:t xml:space="preserve">almost everyone with whom they </w:t>
      </w:r>
      <w:proofErr w:type="gramStart"/>
      <w:r w:rsidRPr="00337631">
        <w:rPr>
          <w:rFonts w:ascii="Georgia" w:eastAsia="Times New Roman" w:hAnsi="Georgia" w:cs="Times New Roman"/>
          <w:color w:val="2A2A2A"/>
          <w:sz w:val="21"/>
          <w:szCs w:val="21"/>
        </w:rPr>
        <w:t>came in contact with</w:t>
      </w:r>
      <w:proofErr w:type="gramEnd"/>
      <w:r w:rsidRPr="00337631">
        <w:rPr>
          <w:rFonts w:ascii="Georgia" w:eastAsia="Times New Roman" w:hAnsi="Georgia" w:cs="Times New Roman"/>
          <w:color w:val="2A2A2A"/>
          <w:sz w:val="21"/>
          <w:szCs w:val="21"/>
        </w:rPr>
        <w:t xml:space="preserve"> gold in one form or another.  As a result, the value of gold plummeted in the Cairo exchange, not recovering for over a full decade!  Mansa Musa’s influence extended beyond his pilgrimage during the hajj season.  He dispatched a group of scholars to do further study in Morocco, then provided them with the resources to establish their own universities, the most prestigious of which was the University of </w:t>
      </w:r>
      <w:proofErr w:type="spellStart"/>
      <w:r w:rsidRPr="00337631">
        <w:rPr>
          <w:rFonts w:ascii="Georgia" w:eastAsia="Times New Roman" w:hAnsi="Georgia" w:cs="Times New Roman"/>
          <w:color w:val="2A2A2A"/>
          <w:sz w:val="21"/>
          <w:szCs w:val="21"/>
        </w:rPr>
        <w:t>Sankore</w:t>
      </w:r>
      <w:proofErr w:type="spellEnd"/>
      <w:r w:rsidRPr="00337631">
        <w:rPr>
          <w:rFonts w:ascii="Georgia" w:eastAsia="Times New Roman" w:hAnsi="Georgia" w:cs="Times New Roman"/>
          <w:color w:val="2A2A2A"/>
          <w:sz w:val="21"/>
          <w:szCs w:val="21"/>
        </w:rPr>
        <w:t xml:space="preserve"> in the city of Timbuktu, also believed to be the first university in the world.  In time the university became an Islamic and secular intellectual home to thousands of students annually through the end of the sixteenth century, with many attending from as far away as Europe.  The universities in Timbuktu spoke to a thriving intellectual tradition shared by Mali and later Songhai.  "Salt comes from the north, gold from the south, and silver from the country of the white men," according to a proverb attributed to the region.  "But the word of God and the treasures of wisdom are only to be found in Timbuktu."</w:t>
      </w:r>
    </w:p>
    <w:p w14:paraId="532DACC6"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1A4A1D0C"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Abu ‘Abdullah ibn Battuta, a Moroccan jurist and the individual whom scholar Ross Dunn termed “the greatest traveler of premodern times,” provided the most vivid firsthand account of life in Mali in the </w:t>
      </w:r>
      <w:proofErr w:type="spellStart"/>
      <w:r w:rsidRPr="00337631">
        <w:rPr>
          <w:rFonts w:ascii="Georgia" w:eastAsia="Times New Roman" w:hAnsi="Georgia" w:cs="Times New Roman"/>
          <w:i/>
          <w:iCs/>
          <w:color w:val="2A2A2A"/>
          <w:sz w:val="21"/>
          <w:szCs w:val="21"/>
        </w:rPr>
        <w:t>Rihla</w:t>
      </w:r>
      <w:proofErr w:type="spellEnd"/>
      <w:r w:rsidRPr="00337631">
        <w:rPr>
          <w:rFonts w:ascii="Georgia" w:eastAsia="Times New Roman" w:hAnsi="Georgia" w:cs="Times New Roman"/>
          <w:i/>
          <w:iCs/>
          <w:color w:val="2A2A2A"/>
          <w:sz w:val="21"/>
          <w:szCs w:val="21"/>
        </w:rPr>
        <w:t>, </w:t>
      </w:r>
      <w:r w:rsidRPr="00337631">
        <w:rPr>
          <w:rFonts w:ascii="Georgia" w:eastAsia="Times New Roman" w:hAnsi="Georgia" w:cs="Times New Roman"/>
          <w:color w:val="2A2A2A"/>
          <w:sz w:val="21"/>
          <w:szCs w:val="21"/>
        </w:rPr>
        <w:t xml:space="preserve">his 1358 book written with Islamic literary scholar Ibn </w:t>
      </w:r>
      <w:proofErr w:type="spellStart"/>
      <w:r w:rsidRPr="00337631">
        <w:rPr>
          <w:rFonts w:ascii="Georgia" w:eastAsia="Times New Roman" w:hAnsi="Georgia" w:cs="Times New Roman"/>
          <w:color w:val="2A2A2A"/>
          <w:sz w:val="21"/>
          <w:szCs w:val="21"/>
        </w:rPr>
        <w:t>Juzayy</w:t>
      </w:r>
      <w:proofErr w:type="spellEnd"/>
      <w:r w:rsidRPr="00337631">
        <w:rPr>
          <w:rFonts w:ascii="Georgia" w:eastAsia="Times New Roman" w:hAnsi="Georgia" w:cs="Times New Roman"/>
          <w:color w:val="2A2A2A"/>
          <w:sz w:val="21"/>
          <w:szCs w:val="21"/>
        </w:rPr>
        <w:t xml:space="preserve">.  Ibn Battuta traveled to Mali in 1352 and spent roughly a year there.  When he first </w:t>
      </w:r>
      <w:proofErr w:type="gramStart"/>
      <w:r w:rsidRPr="00337631">
        <w:rPr>
          <w:rFonts w:ascii="Georgia" w:eastAsia="Times New Roman" w:hAnsi="Georgia" w:cs="Times New Roman"/>
          <w:color w:val="2A2A2A"/>
          <w:sz w:val="21"/>
          <w:szCs w:val="21"/>
        </w:rPr>
        <w:t>arrived</w:t>
      </w:r>
      <w:proofErr w:type="gramEnd"/>
      <w:r w:rsidRPr="00337631">
        <w:rPr>
          <w:rFonts w:ascii="Georgia" w:eastAsia="Times New Roman" w:hAnsi="Georgia" w:cs="Times New Roman"/>
          <w:color w:val="2A2A2A"/>
          <w:sz w:val="21"/>
          <w:szCs w:val="21"/>
        </w:rPr>
        <w:t xml:space="preserve"> he felt rebuffed by a local </w:t>
      </w:r>
      <w:proofErr w:type="spellStart"/>
      <w:r w:rsidRPr="00337631">
        <w:rPr>
          <w:rFonts w:ascii="Georgia" w:eastAsia="Times New Roman" w:hAnsi="Georgia" w:cs="Times New Roman"/>
          <w:i/>
          <w:iCs/>
          <w:color w:val="2A2A2A"/>
          <w:sz w:val="21"/>
          <w:szCs w:val="21"/>
        </w:rPr>
        <w:t>mansa</w:t>
      </w:r>
      <w:proofErr w:type="spellEnd"/>
      <w:r w:rsidRPr="00337631">
        <w:rPr>
          <w:rFonts w:ascii="Georgia" w:eastAsia="Times New Roman" w:hAnsi="Georgia" w:cs="Times New Roman"/>
          <w:i/>
          <w:iCs/>
          <w:color w:val="2A2A2A"/>
          <w:sz w:val="21"/>
          <w:szCs w:val="21"/>
        </w:rPr>
        <w:t> </w:t>
      </w:r>
      <w:r w:rsidRPr="00337631">
        <w:rPr>
          <w:rFonts w:ascii="Georgia" w:eastAsia="Times New Roman" w:hAnsi="Georgia" w:cs="Times New Roman"/>
          <w:color w:val="2A2A2A"/>
          <w:sz w:val="21"/>
          <w:szCs w:val="21"/>
        </w:rPr>
        <w:t xml:space="preserve">who did not speak to him directly, but through a mediator.  What he did not realize was that for the leader to do otherwise would have been a violation of </w:t>
      </w:r>
      <w:proofErr w:type="spellStart"/>
      <w:r w:rsidRPr="00337631">
        <w:rPr>
          <w:rFonts w:ascii="Georgia" w:eastAsia="Times New Roman" w:hAnsi="Georgia" w:cs="Times New Roman"/>
          <w:color w:val="2A2A2A"/>
          <w:sz w:val="21"/>
          <w:szCs w:val="21"/>
        </w:rPr>
        <w:t>Malinke</w:t>
      </w:r>
      <w:proofErr w:type="spellEnd"/>
      <w:r w:rsidRPr="00337631">
        <w:rPr>
          <w:rFonts w:ascii="Georgia" w:eastAsia="Times New Roman" w:hAnsi="Georgia" w:cs="Times New Roman"/>
          <w:color w:val="2A2A2A"/>
          <w:sz w:val="21"/>
          <w:szCs w:val="21"/>
        </w:rPr>
        <w:t xml:space="preserve"> culture.  His frustration grew </w:t>
      </w:r>
      <w:proofErr w:type="gramStart"/>
      <w:r w:rsidRPr="00337631">
        <w:rPr>
          <w:rFonts w:ascii="Georgia" w:eastAsia="Times New Roman" w:hAnsi="Georgia" w:cs="Times New Roman"/>
          <w:color w:val="2A2A2A"/>
          <w:sz w:val="21"/>
          <w:szCs w:val="21"/>
        </w:rPr>
        <w:t>during the course of</w:t>
      </w:r>
      <w:proofErr w:type="gramEnd"/>
      <w:r w:rsidRPr="00337631">
        <w:rPr>
          <w:rFonts w:ascii="Georgia" w:eastAsia="Times New Roman" w:hAnsi="Georgia" w:cs="Times New Roman"/>
          <w:color w:val="2A2A2A"/>
          <w:sz w:val="21"/>
          <w:szCs w:val="21"/>
        </w:rPr>
        <w:t xml:space="preserve"> his visit with the refusal of most Malians to adhere strictly to Islamic law.  When he finally arrived at the capital city he had to wait several months before receiving an audience with Mansa </w:t>
      </w:r>
      <w:proofErr w:type="spellStart"/>
      <w:r w:rsidRPr="00337631">
        <w:rPr>
          <w:rFonts w:ascii="Georgia" w:eastAsia="Times New Roman" w:hAnsi="Georgia" w:cs="Times New Roman"/>
          <w:color w:val="2A2A2A"/>
          <w:sz w:val="21"/>
          <w:szCs w:val="21"/>
        </w:rPr>
        <w:t>Sulayman</w:t>
      </w:r>
      <w:proofErr w:type="spellEnd"/>
      <w:r w:rsidRPr="00337631">
        <w:rPr>
          <w:rFonts w:ascii="Georgia" w:eastAsia="Times New Roman" w:hAnsi="Georgia" w:cs="Times New Roman"/>
          <w:color w:val="2A2A2A"/>
          <w:sz w:val="21"/>
          <w:szCs w:val="21"/>
        </w:rPr>
        <w:t xml:space="preserve">.  “I have journeyed to the countries of the world and met their kings,” Ibn Battuta remarked.  “I have been four months in your country without you giving me a reception gift or anything else.   What shall I say of you in the presence of other sultans?”  In response the king provided the Moroccan traveler with gold and a private home.  Although Ibn Battuta considered Mansa </w:t>
      </w:r>
      <w:proofErr w:type="spellStart"/>
      <w:r w:rsidRPr="00337631">
        <w:rPr>
          <w:rFonts w:ascii="Georgia" w:eastAsia="Times New Roman" w:hAnsi="Georgia" w:cs="Times New Roman"/>
          <w:color w:val="2A2A2A"/>
          <w:sz w:val="21"/>
          <w:szCs w:val="21"/>
        </w:rPr>
        <w:t>Sulayman</w:t>
      </w:r>
      <w:proofErr w:type="spellEnd"/>
      <w:r w:rsidRPr="00337631">
        <w:rPr>
          <w:rFonts w:ascii="Georgia" w:eastAsia="Times New Roman" w:hAnsi="Georgia" w:cs="Times New Roman"/>
          <w:color w:val="2A2A2A"/>
          <w:sz w:val="21"/>
          <w:szCs w:val="21"/>
        </w:rPr>
        <w:t xml:space="preserve"> “miserly,” he did applaud him for the stability of his government.  Nevertheless, his kindest words were reserved for Mansa Musa, who he considered “generous and virtuous” (Dunn 2005, 303).</w:t>
      </w:r>
    </w:p>
    <w:p w14:paraId="11556CEE" w14:textId="2849052A" w:rsidR="00771565" w:rsidRDefault="00771565" w:rsidP="00771565"/>
    <w:p w14:paraId="71A91F97" w14:textId="77777777" w:rsidR="00337631" w:rsidRPr="00337631" w:rsidRDefault="00337631" w:rsidP="00337631">
      <w:pPr>
        <w:pBdr>
          <w:bottom w:val="single" w:sz="6" w:space="5" w:color="auto"/>
        </w:pBdr>
        <w:shd w:val="clear" w:color="auto" w:fill="FFFFFF"/>
        <w:spacing w:before="150" w:after="60" w:line="240" w:lineRule="auto"/>
        <w:outlineLvl w:val="0"/>
        <w:rPr>
          <w:rFonts w:ascii="Century Gothic" w:eastAsia="Times New Roman" w:hAnsi="Century Gothic" w:cs="Times New Roman"/>
          <w:b/>
          <w:bCs/>
          <w:caps/>
          <w:color w:val="048F38"/>
          <w:kern w:val="36"/>
          <w:sz w:val="30"/>
          <w:szCs w:val="30"/>
        </w:rPr>
      </w:pPr>
      <w:r w:rsidRPr="00337631">
        <w:rPr>
          <w:rFonts w:ascii="Century Gothic" w:eastAsia="Times New Roman" w:hAnsi="Century Gothic" w:cs="Times New Roman"/>
          <w:b/>
          <w:bCs/>
          <w:caps/>
          <w:color w:val="048F38"/>
          <w:kern w:val="36"/>
          <w:sz w:val="30"/>
          <w:szCs w:val="30"/>
        </w:rPr>
        <w:t>MOORISH SPAIN</w:t>
      </w:r>
    </w:p>
    <w:p w14:paraId="002DE6FC"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From 711 to 1492 CE a historic military and cultural development took place just to the north of continental African soil that accompanied the decisive rise of Islam in Arabia and neighboring Africa.  Seeking an opportunity to extend the reach of Islam beyond North Africa and into Europe, a multicultural North African force—often referred to as the Moors—under the command of General Tariq ibn Ziyad crossed the narrow strait that connects the Atlantic Ocean and Mediterranean Sea.  Launching his invading force from </w:t>
      </w:r>
      <w:r w:rsidRPr="00337631">
        <w:rPr>
          <w:rFonts w:ascii="Georgia" w:eastAsia="Times New Roman" w:hAnsi="Georgia" w:cs="Times New Roman"/>
          <w:i/>
          <w:iCs/>
          <w:color w:val="2A2A2A"/>
          <w:sz w:val="21"/>
          <w:szCs w:val="21"/>
        </w:rPr>
        <w:t>Jebel Tariq</w:t>
      </w:r>
      <w:r w:rsidRPr="00337631">
        <w:rPr>
          <w:rFonts w:ascii="Georgia" w:eastAsia="Times New Roman" w:hAnsi="Georgia" w:cs="Times New Roman"/>
          <w:color w:val="2A2A2A"/>
          <w:sz w:val="21"/>
          <w:szCs w:val="21"/>
        </w:rPr>
        <w:t xml:space="preserve"> (“Mount Tariq”), known today as the Rock of Gibraltar, Tariq’ forces defeated King Roderick and the Visigoths.  Within less than one year over two-thirds of the Iberian Peninsula was in Moorish control, control that would last another 700 years.  Subsequently, the Moors had a decisive impact on the region.  “They, for instance, introduced the silk industry into Spain,” historian John G. Jackson has noted.  “In the field of </w:t>
      </w:r>
      <w:proofErr w:type="gramStart"/>
      <w:r w:rsidRPr="00337631">
        <w:rPr>
          <w:rFonts w:ascii="Georgia" w:eastAsia="Times New Roman" w:hAnsi="Georgia" w:cs="Times New Roman"/>
          <w:color w:val="2A2A2A"/>
          <w:sz w:val="21"/>
          <w:szCs w:val="21"/>
        </w:rPr>
        <w:t>agriculture</w:t>
      </w:r>
      <w:proofErr w:type="gramEnd"/>
      <w:r w:rsidRPr="00337631">
        <w:rPr>
          <w:rFonts w:ascii="Georgia" w:eastAsia="Times New Roman" w:hAnsi="Georgia" w:cs="Times New Roman"/>
          <w:color w:val="2A2A2A"/>
          <w:sz w:val="21"/>
          <w:szCs w:val="21"/>
        </w:rPr>
        <w:t xml:space="preserve"> they were highly skilled, and introduced rice, sugar cane, dates, ginger, cotton, lemons and strawberries into the country” (Jackson 1970, 175).</w:t>
      </w:r>
    </w:p>
    <w:p w14:paraId="7C030B9D"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1BE17D7A"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These advances accompanied others in Moorish Spain.  Civil engineers constructed an aqueduct that transported water from the mountains to the city of Cordova, as well as underground silos for the storage of grain.  Indeed, by the tenth century Cordova was a city with hundreds of thousands of inhabitants.  Pedestrians could walk for miles on paved, lamp-lit streets at night.  Factories in Moorish Spain included those that produced thousands of shields for battle annually, carpets and woolens, silk and other fine textiles, metal instruments, and some of the finest tanneries in the world.  Such goods were exchanged for imports from India and China at port cities such as Almeria.  Such material production could not have taken place without a culture of innovation and intellectual curiosity.  Moorish society embraced universal Muslim education, and several universities and </w:t>
      </w:r>
      <w:r w:rsidRPr="00337631">
        <w:rPr>
          <w:rFonts w:ascii="Georgia" w:eastAsia="Times New Roman" w:hAnsi="Georgia" w:cs="Times New Roman"/>
          <w:color w:val="2A2A2A"/>
          <w:sz w:val="21"/>
          <w:szCs w:val="21"/>
        </w:rPr>
        <w:lastRenderedPageBreak/>
        <w:t xml:space="preserve">libraries flourished.  At the same time, a hallmark of such intellectual activity was that it often embraced intercultural tolerance among Muslim, Christian, and Jewish scholars, with their works being judged on their merit.   John G. Jackson noted that in 970 CE, “Caliph Al </w:t>
      </w:r>
      <w:proofErr w:type="spellStart"/>
      <w:r w:rsidRPr="00337631">
        <w:rPr>
          <w:rFonts w:ascii="Georgia" w:eastAsia="Times New Roman" w:hAnsi="Georgia" w:cs="Times New Roman"/>
          <w:color w:val="2A2A2A"/>
          <w:sz w:val="21"/>
          <w:szCs w:val="21"/>
        </w:rPr>
        <w:t>Hakem</w:t>
      </w:r>
      <w:proofErr w:type="spellEnd"/>
      <w:r w:rsidRPr="00337631">
        <w:rPr>
          <w:rFonts w:ascii="Georgia" w:eastAsia="Times New Roman" w:hAnsi="Georgia" w:cs="Times New Roman"/>
          <w:color w:val="2A2A2A"/>
          <w:sz w:val="21"/>
          <w:szCs w:val="21"/>
        </w:rPr>
        <w:t xml:space="preserve"> of Cordova filled an entire palace with books collected from all parts of the known world, and the classified shelves of the library were adorned with 600,000 volumes, all carefully catalogued and in order” (Jackson 1970, 180).</w:t>
      </w:r>
    </w:p>
    <w:p w14:paraId="1457F1C1" w14:textId="3497615A" w:rsidR="00337631" w:rsidRDefault="00337631" w:rsidP="00771565"/>
    <w:p w14:paraId="5232E207" w14:textId="77777777" w:rsidR="00337631" w:rsidRPr="00337631" w:rsidRDefault="00337631" w:rsidP="00337631">
      <w:pPr>
        <w:pBdr>
          <w:bottom w:val="single" w:sz="6" w:space="5" w:color="auto"/>
        </w:pBdr>
        <w:shd w:val="clear" w:color="auto" w:fill="FFFFFF"/>
        <w:spacing w:before="150" w:after="60" w:line="240" w:lineRule="auto"/>
        <w:outlineLvl w:val="0"/>
        <w:rPr>
          <w:rFonts w:ascii="Century Gothic" w:eastAsia="Times New Roman" w:hAnsi="Century Gothic" w:cs="Times New Roman"/>
          <w:b/>
          <w:bCs/>
          <w:caps/>
          <w:color w:val="048F38"/>
          <w:kern w:val="36"/>
          <w:sz w:val="30"/>
          <w:szCs w:val="30"/>
        </w:rPr>
      </w:pPr>
      <w:r w:rsidRPr="00337631">
        <w:rPr>
          <w:rFonts w:ascii="Century Gothic" w:eastAsia="Times New Roman" w:hAnsi="Century Gothic" w:cs="Times New Roman"/>
          <w:b/>
          <w:bCs/>
          <w:caps/>
          <w:color w:val="048F38"/>
          <w:kern w:val="36"/>
          <w:sz w:val="30"/>
          <w:szCs w:val="30"/>
        </w:rPr>
        <w:t>SONGHAI</w:t>
      </w:r>
    </w:p>
    <w:p w14:paraId="05161212"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Just as Ghana had been enveloped by Mali, Mali in turn, was enveloped by what would become an incredibly vast empire: Songhai.  Songhai dominated trade and politics from roughly 1464 to 1700, propelled forward by </w:t>
      </w:r>
      <w:proofErr w:type="gramStart"/>
      <w:r w:rsidRPr="00337631">
        <w:rPr>
          <w:rFonts w:ascii="Georgia" w:eastAsia="Times New Roman" w:hAnsi="Georgia" w:cs="Times New Roman"/>
          <w:color w:val="2A2A2A"/>
          <w:sz w:val="21"/>
          <w:szCs w:val="21"/>
        </w:rPr>
        <w:t xml:space="preserve">the  </w:t>
      </w:r>
      <w:proofErr w:type="spellStart"/>
      <w:r w:rsidRPr="00337631">
        <w:rPr>
          <w:rFonts w:ascii="Georgia" w:eastAsia="Times New Roman" w:hAnsi="Georgia" w:cs="Times New Roman"/>
          <w:color w:val="2A2A2A"/>
          <w:sz w:val="21"/>
          <w:szCs w:val="21"/>
        </w:rPr>
        <w:t>Sorko</w:t>
      </w:r>
      <w:proofErr w:type="spellEnd"/>
      <w:proofErr w:type="gramEnd"/>
      <w:r w:rsidRPr="00337631">
        <w:rPr>
          <w:rFonts w:ascii="Georgia" w:eastAsia="Times New Roman" w:hAnsi="Georgia" w:cs="Times New Roman"/>
          <w:color w:val="2A2A2A"/>
          <w:sz w:val="21"/>
          <w:szCs w:val="21"/>
        </w:rPr>
        <w:t xml:space="preserve"> people, masters of boating and fishing along the Niger River.  The </w:t>
      </w:r>
      <w:proofErr w:type="spellStart"/>
      <w:r w:rsidRPr="00337631">
        <w:rPr>
          <w:rFonts w:ascii="Georgia" w:eastAsia="Times New Roman" w:hAnsi="Georgia" w:cs="Times New Roman"/>
          <w:color w:val="2A2A2A"/>
          <w:sz w:val="21"/>
          <w:szCs w:val="21"/>
        </w:rPr>
        <w:t>Sorko</w:t>
      </w:r>
      <w:proofErr w:type="spellEnd"/>
      <w:r w:rsidRPr="00337631">
        <w:rPr>
          <w:rFonts w:ascii="Georgia" w:eastAsia="Times New Roman" w:hAnsi="Georgia" w:cs="Times New Roman"/>
          <w:color w:val="2A2A2A"/>
          <w:sz w:val="21"/>
          <w:szCs w:val="21"/>
        </w:rPr>
        <w:t xml:space="preserve"> not only dominated the river in terms of trade, but also, in terms of military power and efficiency.  Under </w:t>
      </w:r>
      <w:proofErr w:type="spellStart"/>
      <w:r w:rsidRPr="00337631">
        <w:rPr>
          <w:rFonts w:ascii="Georgia" w:eastAsia="Times New Roman" w:hAnsi="Georgia" w:cs="Times New Roman"/>
          <w:color w:val="2A2A2A"/>
          <w:sz w:val="21"/>
          <w:szCs w:val="21"/>
        </w:rPr>
        <w:t>Sonni</w:t>
      </w:r>
      <w:proofErr w:type="spellEnd"/>
      <w:r w:rsidRPr="00337631">
        <w:rPr>
          <w:rFonts w:ascii="Georgia" w:eastAsia="Times New Roman" w:hAnsi="Georgia" w:cs="Times New Roman"/>
          <w:color w:val="2A2A2A"/>
          <w:sz w:val="21"/>
          <w:szCs w:val="21"/>
        </w:rPr>
        <w:t xml:space="preserve"> Ali the Great, Songhai’s first imperial king (1464—1492) and a </w:t>
      </w:r>
      <w:proofErr w:type="spellStart"/>
      <w:r w:rsidRPr="00337631">
        <w:rPr>
          <w:rFonts w:ascii="Georgia" w:eastAsia="Times New Roman" w:hAnsi="Georgia" w:cs="Times New Roman"/>
          <w:color w:val="2A2A2A"/>
          <w:sz w:val="21"/>
          <w:szCs w:val="21"/>
        </w:rPr>
        <w:t>shrewe</w:t>
      </w:r>
      <w:proofErr w:type="spellEnd"/>
      <w:r w:rsidRPr="00337631">
        <w:rPr>
          <w:rFonts w:ascii="Georgia" w:eastAsia="Times New Roman" w:hAnsi="Georgia" w:cs="Times New Roman"/>
          <w:color w:val="2A2A2A"/>
          <w:sz w:val="21"/>
          <w:szCs w:val="21"/>
        </w:rPr>
        <w:t xml:space="preserve"> military tactician, the </w:t>
      </w:r>
      <w:proofErr w:type="spellStart"/>
      <w:r w:rsidRPr="00337631">
        <w:rPr>
          <w:rFonts w:ascii="Georgia" w:eastAsia="Times New Roman" w:hAnsi="Georgia" w:cs="Times New Roman"/>
          <w:color w:val="2A2A2A"/>
          <w:sz w:val="21"/>
          <w:szCs w:val="21"/>
        </w:rPr>
        <w:t>Sorko</w:t>
      </w:r>
      <w:proofErr w:type="spellEnd"/>
      <w:r w:rsidRPr="00337631">
        <w:rPr>
          <w:rFonts w:ascii="Georgia" w:eastAsia="Times New Roman" w:hAnsi="Georgia" w:cs="Times New Roman"/>
          <w:color w:val="2A2A2A"/>
          <w:sz w:val="21"/>
          <w:szCs w:val="21"/>
        </w:rPr>
        <w:t xml:space="preserve"> were able to successfully consolidate power in the wake of Mali’s collapse.  </w:t>
      </w:r>
      <w:proofErr w:type="spellStart"/>
      <w:r w:rsidRPr="00337631">
        <w:rPr>
          <w:rFonts w:ascii="Georgia" w:eastAsia="Times New Roman" w:hAnsi="Georgia" w:cs="Times New Roman"/>
          <w:color w:val="2A2A2A"/>
          <w:sz w:val="21"/>
          <w:szCs w:val="21"/>
        </w:rPr>
        <w:t>Sonni</w:t>
      </w:r>
      <w:proofErr w:type="spellEnd"/>
      <w:r w:rsidRPr="00337631">
        <w:rPr>
          <w:rFonts w:ascii="Georgia" w:eastAsia="Times New Roman" w:hAnsi="Georgia" w:cs="Times New Roman"/>
          <w:color w:val="2A2A2A"/>
          <w:sz w:val="21"/>
          <w:szCs w:val="21"/>
        </w:rPr>
        <w:t xml:space="preserve"> Ali’s </w:t>
      </w:r>
      <w:proofErr w:type="gramStart"/>
      <w:r w:rsidRPr="00337631">
        <w:rPr>
          <w:rFonts w:ascii="Georgia" w:eastAsia="Times New Roman" w:hAnsi="Georgia" w:cs="Times New Roman"/>
          <w:color w:val="2A2A2A"/>
          <w:sz w:val="21"/>
          <w:szCs w:val="21"/>
        </w:rPr>
        <w:t>forces  conquered</w:t>
      </w:r>
      <w:proofErr w:type="gramEnd"/>
      <w:r w:rsidRPr="00337631">
        <w:rPr>
          <w:rFonts w:ascii="Georgia" w:eastAsia="Times New Roman" w:hAnsi="Georgia" w:cs="Times New Roman"/>
          <w:color w:val="2A2A2A"/>
          <w:sz w:val="21"/>
          <w:szCs w:val="21"/>
        </w:rPr>
        <w:t xml:space="preserve"> Timbuktu in 1468 and some years later the city of </w:t>
      </w:r>
      <w:proofErr w:type="spellStart"/>
      <w:r w:rsidRPr="00337631">
        <w:rPr>
          <w:rFonts w:ascii="Georgia" w:eastAsia="Times New Roman" w:hAnsi="Georgia" w:cs="Times New Roman"/>
          <w:color w:val="2A2A2A"/>
          <w:sz w:val="21"/>
          <w:szCs w:val="21"/>
        </w:rPr>
        <w:t>Jenne</w:t>
      </w:r>
      <w:proofErr w:type="spellEnd"/>
      <w:r w:rsidRPr="00337631">
        <w:rPr>
          <w:rFonts w:ascii="Georgia" w:eastAsia="Times New Roman" w:hAnsi="Georgia" w:cs="Times New Roman"/>
          <w:color w:val="2A2A2A"/>
          <w:sz w:val="21"/>
          <w:szCs w:val="21"/>
        </w:rPr>
        <w:t xml:space="preserve">, ushering in Songhai dominance in the region.  As was the case with some earlier Malian leaders, </w:t>
      </w:r>
      <w:proofErr w:type="spellStart"/>
      <w:r w:rsidRPr="00337631">
        <w:rPr>
          <w:rFonts w:ascii="Georgia" w:eastAsia="Times New Roman" w:hAnsi="Georgia" w:cs="Times New Roman"/>
          <w:color w:val="2A2A2A"/>
          <w:sz w:val="21"/>
          <w:szCs w:val="21"/>
        </w:rPr>
        <w:t>Sonni</w:t>
      </w:r>
      <w:proofErr w:type="spellEnd"/>
      <w:r w:rsidRPr="00337631">
        <w:rPr>
          <w:rFonts w:ascii="Georgia" w:eastAsia="Times New Roman" w:hAnsi="Georgia" w:cs="Times New Roman"/>
          <w:color w:val="2A2A2A"/>
          <w:sz w:val="21"/>
          <w:szCs w:val="21"/>
        </w:rPr>
        <w:t xml:space="preserve"> Ali valued indigenous forms of religious practice alongside Islam, refusing to distance himself from the former (Asante, 2007, 137—139; Stride and </w:t>
      </w:r>
      <w:proofErr w:type="spellStart"/>
      <w:r w:rsidRPr="00337631">
        <w:rPr>
          <w:rFonts w:ascii="Georgia" w:eastAsia="Times New Roman" w:hAnsi="Georgia" w:cs="Times New Roman"/>
          <w:color w:val="2A2A2A"/>
          <w:sz w:val="21"/>
          <w:szCs w:val="21"/>
        </w:rPr>
        <w:t>Ifeka</w:t>
      </w:r>
      <w:proofErr w:type="spellEnd"/>
      <w:r w:rsidRPr="00337631">
        <w:rPr>
          <w:rFonts w:ascii="Georgia" w:eastAsia="Times New Roman" w:hAnsi="Georgia" w:cs="Times New Roman"/>
          <w:color w:val="2A2A2A"/>
          <w:sz w:val="21"/>
          <w:szCs w:val="21"/>
        </w:rPr>
        <w:t>, 1971, 67—70).</w:t>
      </w:r>
    </w:p>
    <w:p w14:paraId="3ABFE2C1"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6E6AD203"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In the wake of </w:t>
      </w:r>
      <w:proofErr w:type="spellStart"/>
      <w:r w:rsidRPr="00337631">
        <w:rPr>
          <w:rFonts w:ascii="Georgia" w:eastAsia="Times New Roman" w:hAnsi="Georgia" w:cs="Times New Roman"/>
          <w:color w:val="2A2A2A"/>
          <w:sz w:val="21"/>
          <w:szCs w:val="21"/>
        </w:rPr>
        <w:t>Sonni</w:t>
      </w:r>
      <w:proofErr w:type="spellEnd"/>
      <w:r w:rsidRPr="00337631">
        <w:rPr>
          <w:rFonts w:ascii="Georgia" w:eastAsia="Times New Roman" w:hAnsi="Georgia" w:cs="Times New Roman"/>
          <w:color w:val="2A2A2A"/>
          <w:sz w:val="21"/>
          <w:szCs w:val="21"/>
        </w:rPr>
        <w:t xml:space="preserve"> Ali’s death, his son Sunni </w:t>
      </w:r>
      <w:proofErr w:type="spellStart"/>
      <w:r w:rsidRPr="00337631">
        <w:rPr>
          <w:rFonts w:ascii="Georgia" w:eastAsia="Times New Roman" w:hAnsi="Georgia" w:cs="Times New Roman"/>
          <w:color w:val="2A2A2A"/>
          <w:sz w:val="21"/>
          <w:szCs w:val="21"/>
        </w:rPr>
        <w:t>Baro</w:t>
      </w:r>
      <w:proofErr w:type="spellEnd"/>
      <w:r w:rsidRPr="00337631">
        <w:rPr>
          <w:rFonts w:ascii="Georgia" w:eastAsia="Times New Roman" w:hAnsi="Georgia" w:cs="Times New Roman"/>
          <w:color w:val="2A2A2A"/>
          <w:sz w:val="21"/>
          <w:szCs w:val="21"/>
        </w:rPr>
        <w:t xml:space="preserve"> ruled briefly.  However, </w:t>
      </w:r>
      <w:proofErr w:type="spellStart"/>
      <w:r w:rsidRPr="00337631">
        <w:rPr>
          <w:rFonts w:ascii="Georgia" w:eastAsia="Times New Roman" w:hAnsi="Georgia" w:cs="Times New Roman"/>
          <w:color w:val="2A2A2A"/>
          <w:sz w:val="21"/>
          <w:szCs w:val="21"/>
        </w:rPr>
        <w:t>Sonni</w:t>
      </w:r>
      <w:proofErr w:type="spellEnd"/>
      <w:r w:rsidRPr="00337631">
        <w:rPr>
          <w:rFonts w:ascii="Georgia" w:eastAsia="Times New Roman" w:hAnsi="Georgia" w:cs="Times New Roman"/>
          <w:color w:val="2A2A2A"/>
          <w:sz w:val="21"/>
          <w:szCs w:val="21"/>
        </w:rPr>
        <w:t xml:space="preserve"> Ali’s chief minister, Muhammad </w:t>
      </w:r>
      <w:proofErr w:type="spellStart"/>
      <w:r w:rsidRPr="00337631">
        <w:rPr>
          <w:rFonts w:ascii="Georgia" w:eastAsia="Times New Roman" w:hAnsi="Georgia" w:cs="Times New Roman"/>
          <w:color w:val="2A2A2A"/>
          <w:sz w:val="21"/>
          <w:szCs w:val="21"/>
        </w:rPr>
        <w:t>Towri</w:t>
      </w:r>
      <w:proofErr w:type="spellEnd"/>
      <w:r w:rsidRPr="00337631">
        <w:rPr>
          <w:rFonts w:ascii="Georgia" w:eastAsia="Times New Roman" w:hAnsi="Georgia" w:cs="Times New Roman"/>
          <w:color w:val="2A2A2A"/>
          <w:sz w:val="21"/>
          <w:szCs w:val="21"/>
        </w:rPr>
        <w:t xml:space="preserve"> ibn Abubakar, quickly came to power in a coup, adopting the name </w:t>
      </w:r>
      <w:proofErr w:type="spellStart"/>
      <w:r w:rsidRPr="00337631">
        <w:rPr>
          <w:rFonts w:ascii="Georgia" w:eastAsia="Times New Roman" w:hAnsi="Georgia" w:cs="Times New Roman"/>
          <w:color w:val="2A2A2A"/>
          <w:sz w:val="21"/>
          <w:szCs w:val="21"/>
        </w:rPr>
        <w:t>Askia</w:t>
      </w:r>
      <w:proofErr w:type="spellEnd"/>
      <w:r w:rsidRPr="00337631">
        <w:rPr>
          <w:rFonts w:ascii="Georgia" w:eastAsia="Times New Roman" w:hAnsi="Georgia" w:cs="Times New Roman"/>
          <w:color w:val="2A2A2A"/>
          <w:sz w:val="21"/>
          <w:szCs w:val="21"/>
        </w:rPr>
        <w:t xml:space="preserve"> Muhammad Ture.     Muhammad Ture, who traced his lineage to the Soninke and not the Songhai royal family, was a brilliant diplomat who consolidated the support of Muslims who had grown frustrated with </w:t>
      </w:r>
      <w:proofErr w:type="spellStart"/>
      <w:r w:rsidRPr="00337631">
        <w:rPr>
          <w:rFonts w:ascii="Georgia" w:eastAsia="Times New Roman" w:hAnsi="Georgia" w:cs="Times New Roman"/>
          <w:color w:val="2A2A2A"/>
          <w:sz w:val="21"/>
          <w:szCs w:val="21"/>
        </w:rPr>
        <w:t>Sonni</w:t>
      </w:r>
      <w:proofErr w:type="spellEnd"/>
      <w:r w:rsidRPr="00337631">
        <w:rPr>
          <w:rFonts w:ascii="Georgia" w:eastAsia="Times New Roman" w:hAnsi="Georgia" w:cs="Times New Roman"/>
          <w:color w:val="2A2A2A"/>
          <w:sz w:val="21"/>
          <w:szCs w:val="21"/>
        </w:rPr>
        <w:t xml:space="preserve"> Ali’s earlier embrace of indigenous religion.  He cemented this effort to resuscitate Islam throughout the empire by first declaring his own faith through a pilgrimage to Mecca, then by being recognized as the "caliph" of the whole Sudan.”  Muhammad Ture established a strong centralized government during his reign (1493—1528) by appointing several </w:t>
      </w:r>
      <w:proofErr w:type="spellStart"/>
      <w:r w:rsidRPr="00337631">
        <w:rPr>
          <w:rFonts w:ascii="Georgia" w:eastAsia="Times New Roman" w:hAnsi="Georgia" w:cs="Times New Roman"/>
          <w:i/>
          <w:iCs/>
          <w:color w:val="2A2A2A"/>
          <w:sz w:val="21"/>
          <w:szCs w:val="21"/>
        </w:rPr>
        <w:t>fari</w:t>
      </w:r>
      <w:proofErr w:type="spellEnd"/>
      <w:r w:rsidRPr="00337631">
        <w:rPr>
          <w:rFonts w:ascii="Georgia" w:eastAsia="Times New Roman" w:hAnsi="Georgia" w:cs="Times New Roman"/>
          <w:color w:val="2A2A2A"/>
          <w:sz w:val="21"/>
          <w:szCs w:val="21"/>
        </w:rPr>
        <w:t xml:space="preserve">, or governors, to each of the empire’s provinces (Stride and </w:t>
      </w:r>
      <w:proofErr w:type="spellStart"/>
      <w:r w:rsidRPr="00337631">
        <w:rPr>
          <w:rFonts w:ascii="Georgia" w:eastAsia="Times New Roman" w:hAnsi="Georgia" w:cs="Times New Roman"/>
          <w:color w:val="2A2A2A"/>
          <w:sz w:val="21"/>
          <w:szCs w:val="21"/>
        </w:rPr>
        <w:t>Ifeka</w:t>
      </w:r>
      <w:proofErr w:type="spellEnd"/>
      <w:r w:rsidRPr="00337631">
        <w:rPr>
          <w:rFonts w:ascii="Georgia" w:eastAsia="Times New Roman" w:hAnsi="Georgia" w:cs="Times New Roman"/>
          <w:color w:val="2A2A2A"/>
          <w:sz w:val="21"/>
          <w:szCs w:val="21"/>
        </w:rPr>
        <w:t xml:space="preserve"> 1971, 71—74; Davidson 1998, 53—55).</w:t>
      </w:r>
    </w:p>
    <w:p w14:paraId="1307BD5F"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2AF897CA"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The twin engines that helped propel the empire of Songhai were an extensive trans-Saharan trade in a variety of goods and tribute collected from each of its provinces.  As Muhammad Ture’s military forces pushed back the Tuareg in the north and subdued the </w:t>
      </w:r>
      <w:proofErr w:type="spellStart"/>
      <w:r w:rsidRPr="00337631">
        <w:rPr>
          <w:rFonts w:ascii="Georgia" w:eastAsia="Times New Roman" w:hAnsi="Georgia" w:cs="Times New Roman"/>
          <w:color w:val="2A2A2A"/>
          <w:sz w:val="21"/>
          <w:szCs w:val="21"/>
        </w:rPr>
        <w:t>Mossi</w:t>
      </w:r>
      <w:proofErr w:type="spellEnd"/>
      <w:r w:rsidRPr="00337631">
        <w:rPr>
          <w:rFonts w:ascii="Georgia" w:eastAsia="Times New Roman" w:hAnsi="Georgia" w:cs="Times New Roman"/>
          <w:color w:val="2A2A2A"/>
          <w:sz w:val="21"/>
          <w:szCs w:val="21"/>
        </w:rPr>
        <w:t xml:space="preserve"> to the south, his government was able to extend its resource base.  The capital city of Gao was the center of this vibrant trade, as merchants from as far away as Morocco, Egypt, and portions of Europe traded salt, textiles, luxury items, horses, and later guns for gold, cereals, grains, and over time, an increasing number of enslaved captives from conquered territories.  Al-Hasan b. Muhammad al-</w:t>
      </w:r>
      <w:proofErr w:type="spellStart"/>
      <w:r w:rsidRPr="00337631">
        <w:rPr>
          <w:rFonts w:ascii="Georgia" w:eastAsia="Times New Roman" w:hAnsi="Georgia" w:cs="Times New Roman"/>
          <w:color w:val="2A2A2A"/>
          <w:sz w:val="21"/>
          <w:szCs w:val="21"/>
        </w:rPr>
        <w:t>Wazan</w:t>
      </w:r>
      <w:proofErr w:type="spellEnd"/>
      <w:r w:rsidRPr="00337631">
        <w:rPr>
          <w:rFonts w:ascii="Georgia" w:eastAsia="Times New Roman" w:hAnsi="Georgia" w:cs="Times New Roman"/>
          <w:color w:val="2A2A2A"/>
          <w:sz w:val="21"/>
          <w:szCs w:val="21"/>
        </w:rPr>
        <w:t xml:space="preserve"> al-</w:t>
      </w:r>
      <w:proofErr w:type="spellStart"/>
      <w:r w:rsidRPr="00337631">
        <w:rPr>
          <w:rFonts w:ascii="Georgia" w:eastAsia="Times New Roman" w:hAnsi="Georgia" w:cs="Times New Roman"/>
          <w:color w:val="2A2A2A"/>
          <w:sz w:val="21"/>
          <w:szCs w:val="21"/>
        </w:rPr>
        <w:t>Zayatti</w:t>
      </w:r>
      <w:proofErr w:type="spellEnd"/>
      <w:r w:rsidRPr="00337631">
        <w:rPr>
          <w:rFonts w:ascii="Georgia" w:eastAsia="Times New Roman" w:hAnsi="Georgia" w:cs="Times New Roman"/>
          <w:color w:val="2A2A2A"/>
          <w:sz w:val="21"/>
          <w:szCs w:val="21"/>
        </w:rPr>
        <w:t>, a Moroccan writer who used the penname Leo Africanus, provided one of the most famous direct observations of Gao, the capital of Songhai during the reign of Muhammad Ture.  “It is a wonder to see how much merchandise is brought here daily, and how costly and sumptuous everything is.  Horses bought in Europe for ten ducats, are sold again for forty and sometimes for fifty ducats a piece” (quoted in Shillington 2005, 104).</w:t>
      </w:r>
    </w:p>
    <w:p w14:paraId="2E7E7DBB" w14:textId="1DE3F5A7" w:rsidR="00337631" w:rsidRDefault="00337631" w:rsidP="00771565"/>
    <w:p w14:paraId="1540C823" w14:textId="77777777" w:rsidR="00337631" w:rsidRPr="00337631" w:rsidRDefault="00337631" w:rsidP="00337631">
      <w:pPr>
        <w:pBdr>
          <w:bottom w:val="single" w:sz="6" w:space="5" w:color="auto"/>
        </w:pBdr>
        <w:shd w:val="clear" w:color="auto" w:fill="FFFFFF"/>
        <w:spacing w:before="150" w:after="60" w:line="240" w:lineRule="auto"/>
        <w:outlineLvl w:val="0"/>
        <w:rPr>
          <w:rFonts w:ascii="Century Gothic" w:eastAsia="Times New Roman" w:hAnsi="Century Gothic" w:cs="Times New Roman"/>
          <w:b/>
          <w:bCs/>
          <w:caps/>
          <w:color w:val="048F38"/>
          <w:kern w:val="36"/>
          <w:sz w:val="30"/>
          <w:szCs w:val="30"/>
        </w:rPr>
      </w:pPr>
      <w:r w:rsidRPr="00337631">
        <w:rPr>
          <w:rFonts w:ascii="Century Gothic" w:eastAsia="Times New Roman" w:hAnsi="Century Gothic" w:cs="Times New Roman"/>
          <w:b/>
          <w:bCs/>
          <w:caps/>
          <w:color w:val="048F38"/>
          <w:kern w:val="36"/>
          <w:sz w:val="30"/>
          <w:szCs w:val="30"/>
        </w:rPr>
        <w:t>ASANTE</w:t>
      </w:r>
    </w:p>
    <w:p w14:paraId="714A9B50"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A robust and multifaceted trading network was also the centerpiece of Asante (also </w:t>
      </w:r>
      <w:r w:rsidRPr="00337631">
        <w:rPr>
          <w:rFonts w:ascii="Georgia" w:eastAsia="Times New Roman" w:hAnsi="Georgia" w:cs="Times New Roman"/>
          <w:i/>
          <w:iCs/>
          <w:color w:val="2A2A2A"/>
          <w:sz w:val="21"/>
          <w:szCs w:val="21"/>
        </w:rPr>
        <w:t>Ashanti</w:t>
      </w:r>
      <w:r w:rsidRPr="00337631">
        <w:rPr>
          <w:rFonts w:ascii="Georgia" w:eastAsia="Times New Roman" w:hAnsi="Georgia" w:cs="Times New Roman"/>
          <w:color w:val="2A2A2A"/>
          <w:sz w:val="21"/>
          <w:szCs w:val="21"/>
        </w:rPr>
        <w:t xml:space="preserve">), a West African empire that dominated the area of present-day Ghana from the 1670s until the 1830s.  The Twi-speaking Akan were the principal ethnic group in this deeply forested region just north of the West African coast.  Therefore, the Asante Union represented the consolidation of several smaller Akan city-states under the control of the central city-state of Kumasi.  Kumasi was critical because it was the point of convergence between the two major trade routes for the entire region, a western one </w:t>
      </w:r>
      <w:r w:rsidRPr="00337631">
        <w:rPr>
          <w:rFonts w:ascii="Georgia" w:eastAsia="Times New Roman" w:hAnsi="Georgia" w:cs="Times New Roman"/>
          <w:color w:val="2A2A2A"/>
          <w:sz w:val="21"/>
          <w:szCs w:val="21"/>
        </w:rPr>
        <w:lastRenderedPageBreak/>
        <w:t xml:space="preserve">from the cities of Songhai and an eastern one from Muslim </w:t>
      </w:r>
      <w:proofErr w:type="spellStart"/>
      <w:r w:rsidRPr="00337631">
        <w:rPr>
          <w:rFonts w:ascii="Georgia" w:eastAsia="Times New Roman" w:hAnsi="Georgia" w:cs="Times New Roman"/>
          <w:color w:val="2A2A2A"/>
          <w:sz w:val="21"/>
          <w:szCs w:val="21"/>
        </w:rPr>
        <w:t>Hausaland</w:t>
      </w:r>
      <w:proofErr w:type="spellEnd"/>
      <w:r w:rsidRPr="00337631">
        <w:rPr>
          <w:rFonts w:ascii="Georgia" w:eastAsia="Times New Roman" w:hAnsi="Georgia" w:cs="Times New Roman"/>
          <w:color w:val="2A2A2A"/>
          <w:sz w:val="21"/>
          <w:szCs w:val="21"/>
        </w:rPr>
        <w:t>.  The first three kings of the Asante Union—</w:t>
      </w:r>
      <w:proofErr w:type="spellStart"/>
      <w:r w:rsidRPr="00337631">
        <w:rPr>
          <w:rFonts w:ascii="Georgia" w:eastAsia="Times New Roman" w:hAnsi="Georgia" w:cs="Times New Roman"/>
          <w:color w:val="2A2A2A"/>
          <w:sz w:val="21"/>
          <w:szCs w:val="21"/>
        </w:rPr>
        <w:t>Obiri</w:t>
      </w:r>
      <w:proofErr w:type="spellEnd"/>
      <w:r w:rsidRPr="00337631">
        <w:rPr>
          <w:rFonts w:ascii="Georgia" w:eastAsia="Times New Roman" w:hAnsi="Georgia" w:cs="Times New Roman"/>
          <w:color w:val="2A2A2A"/>
          <w:sz w:val="21"/>
          <w:szCs w:val="21"/>
        </w:rPr>
        <w:t xml:space="preserve"> </w:t>
      </w:r>
      <w:proofErr w:type="spellStart"/>
      <w:r w:rsidRPr="00337631">
        <w:rPr>
          <w:rFonts w:ascii="Georgia" w:eastAsia="Times New Roman" w:hAnsi="Georgia" w:cs="Times New Roman"/>
          <w:color w:val="2A2A2A"/>
          <w:sz w:val="21"/>
          <w:szCs w:val="21"/>
        </w:rPr>
        <w:t>Yeboa</w:t>
      </w:r>
      <w:proofErr w:type="spellEnd"/>
      <w:r w:rsidRPr="00337631">
        <w:rPr>
          <w:rFonts w:ascii="Georgia" w:eastAsia="Times New Roman" w:hAnsi="Georgia" w:cs="Times New Roman"/>
          <w:color w:val="2A2A2A"/>
          <w:sz w:val="21"/>
          <w:szCs w:val="21"/>
        </w:rPr>
        <w:t>, Osei Tutu, and Opoku Ware—laid the political and economic foundation necessary for Asante to thrive and grow.  Osei Tutu, whose reign solidified the Asante, assumed the title </w:t>
      </w:r>
      <w:proofErr w:type="spellStart"/>
      <w:r w:rsidRPr="00337631">
        <w:rPr>
          <w:rFonts w:ascii="Georgia" w:eastAsia="Times New Roman" w:hAnsi="Georgia" w:cs="Times New Roman"/>
          <w:i/>
          <w:iCs/>
          <w:color w:val="2A2A2A"/>
          <w:sz w:val="21"/>
          <w:szCs w:val="21"/>
        </w:rPr>
        <w:t>Asantehene</w:t>
      </w:r>
      <w:proofErr w:type="spellEnd"/>
      <w:r w:rsidRPr="00337631">
        <w:rPr>
          <w:rFonts w:ascii="Georgia" w:eastAsia="Times New Roman" w:hAnsi="Georgia" w:cs="Times New Roman"/>
          <w:color w:val="2A2A2A"/>
          <w:sz w:val="21"/>
          <w:szCs w:val="21"/>
        </w:rPr>
        <w:t xml:space="preserve"> by declaring that lesser chiefs would pay some form of tribute.  His reign came to be symbolized by the possession of the Golden Stool, an object meant to represent the importance of his kinship group.   Osei Tutu oversaw the crafting of a constitution that structurally bound lesser chiefs and their territories to the capital city of Kumasi and the ruling </w:t>
      </w:r>
      <w:proofErr w:type="spellStart"/>
      <w:r w:rsidRPr="00337631">
        <w:rPr>
          <w:rFonts w:ascii="Georgia" w:eastAsia="Times New Roman" w:hAnsi="Georgia" w:cs="Times New Roman"/>
          <w:color w:val="2A2A2A"/>
          <w:sz w:val="21"/>
          <w:szCs w:val="21"/>
        </w:rPr>
        <w:t>Asantehene</w:t>
      </w:r>
      <w:proofErr w:type="spellEnd"/>
      <w:r w:rsidRPr="00337631">
        <w:rPr>
          <w:rFonts w:ascii="Georgia" w:eastAsia="Times New Roman" w:hAnsi="Georgia" w:cs="Times New Roman"/>
          <w:color w:val="2A2A2A"/>
          <w:sz w:val="21"/>
          <w:szCs w:val="21"/>
        </w:rPr>
        <w:t xml:space="preserve">.  After introducing more efficient military organization, he then proceeded to engage in several campaigns to solidify Asante control of key trade routes.  (Stride and </w:t>
      </w:r>
      <w:proofErr w:type="spellStart"/>
      <w:r w:rsidRPr="00337631">
        <w:rPr>
          <w:rFonts w:ascii="Georgia" w:eastAsia="Times New Roman" w:hAnsi="Georgia" w:cs="Times New Roman"/>
          <w:color w:val="2A2A2A"/>
          <w:sz w:val="21"/>
          <w:szCs w:val="21"/>
        </w:rPr>
        <w:t>Ifeka</w:t>
      </w:r>
      <w:proofErr w:type="spellEnd"/>
      <w:r w:rsidRPr="00337631">
        <w:rPr>
          <w:rFonts w:ascii="Georgia" w:eastAsia="Times New Roman" w:hAnsi="Georgia" w:cs="Times New Roman"/>
          <w:color w:val="2A2A2A"/>
          <w:sz w:val="21"/>
          <w:szCs w:val="21"/>
        </w:rPr>
        <w:t xml:space="preserve"> 1971, 254—261).</w:t>
      </w:r>
    </w:p>
    <w:p w14:paraId="56353988"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52ECFEC8"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Like all Akan societies, the Asante were a matrilineal people who valued women as the key determiners of inheritance and citizenship rights through their family lines over the course of generations, a cultural authority referred to as </w:t>
      </w:r>
      <w:proofErr w:type="spellStart"/>
      <w:r w:rsidRPr="00337631">
        <w:rPr>
          <w:rFonts w:ascii="Georgia" w:eastAsia="Times New Roman" w:hAnsi="Georgia" w:cs="Times New Roman"/>
          <w:i/>
          <w:iCs/>
          <w:color w:val="2A2A2A"/>
          <w:sz w:val="21"/>
          <w:szCs w:val="21"/>
        </w:rPr>
        <w:t>mogya</w:t>
      </w:r>
      <w:proofErr w:type="spellEnd"/>
      <w:r w:rsidRPr="00337631">
        <w:rPr>
          <w:rFonts w:ascii="Georgia" w:eastAsia="Times New Roman" w:hAnsi="Georgia" w:cs="Times New Roman"/>
          <w:color w:val="2A2A2A"/>
          <w:sz w:val="21"/>
          <w:szCs w:val="21"/>
        </w:rPr>
        <w:t xml:space="preserve">, or life force.  “Even though political offices in the lineage and state are held almost exclusively by men, political status is conferred by women,” historian and anthropologist Agnes </w:t>
      </w:r>
      <w:proofErr w:type="spellStart"/>
      <w:r w:rsidRPr="00337631">
        <w:rPr>
          <w:rFonts w:ascii="Georgia" w:eastAsia="Times New Roman" w:hAnsi="Georgia" w:cs="Times New Roman"/>
          <w:color w:val="2A2A2A"/>
          <w:sz w:val="21"/>
          <w:szCs w:val="21"/>
        </w:rPr>
        <w:t>Akosua</w:t>
      </w:r>
      <w:proofErr w:type="spellEnd"/>
      <w:r w:rsidRPr="00337631">
        <w:rPr>
          <w:rFonts w:ascii="Georgia" w:eastAsia="Times New Roman" w:hAnsi="Georgia" w:cs="Times New Roman"/>
          <w:color w:val="2A2A2A"/>
          <w:sz w:val="21"/>
          <w:szCs w:val="21"/>
        </w:rPr>
        <w:t xml:space="preserve"> Aidoo has noted.  “</w:t>
      </w:r>
      <w:proofErr w:type="gramStart"/>
      <w:r w:rsidRPr="00337631">
        <w:rPr>
          <w:rFonts w:ascii="Georgia" w:eastAsia="Times New Roman" w:hAnsi="Georgia" w:cs="Times New Roman"/>
          <w:color w:val="2A2A2A"/>
          <w:sz w:val="21"/>
          <w:szCs w:val="21"/>
        </w:rPr>
        <w:t>Thus</w:t>
      </w:r>
      <w:proofErr w:type="gramEnd"/>
      <w:r w:rsidRPr="00337631">
        <w:rPr>
          <w:rFonts w:ascii="Georgia" w:eastAsia="Times New Roman" w:hAnsi="Georgia" w:cs="Times New Roman"/>
          <w:color w:val="2A2A2A"/>
          <w:sz w:val="21"/>
          <w:szCs w:val="21"/>
        </w:rPr>
        <w:t xml:space="preserve"> the Asante never tire of pointing out in proverbs: </w:t>
      </w:r>
      <w:proofErr w:type="spellStart"/>
      <w:r w:rsidRPr="00337631">
        <w:rPr>
          <w:rFonts w:ascii="Georgia" w:eastAsia="Times New Roman" w:hAnsi="Georgia" w:cs="Times New Roman"/>
          <w:i/>
          <w:iCs/>
          <w:color w:val="2A2A2A"/>
          <w:sz w:val="21"/>
          <w:szCs w:val="21"/>
        </w:rPr>
        <w:t>Obaa</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na</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owoo</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obarima</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Obaa</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na</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owoo</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ohene</w:t>
      </w:r>
      <w:proofErr w:type="spellEnd"/>
      <w:r w:rsidRPr="00337631">
        <w:rPr>
          <w:rFonts w:ascii="Georgia" w:eastAsia="Times New Roman" w:hAnsi="Georgia" w:cs="Times New Roman"/>
          <w:i/>
          <w:iCs/>
          <w:color w:val="2A2A2A"/>
          <w:sz w:val="21"/>
          <w:szCs w:val="21"/>
        </w:rPr>
        <w:t> </w:t>
      </w:r>
      <w:r w:rsidRPr="00337631">
        <w:rPr>
          <w:rFonts w:ascii="Georgia" w:eastAsia="Times New Roman" w:hAnsi="Georgia" w:cs="Times New Roman"/>
          <w:color w:val="2A2A2A"/>
          <w:sz w:val="21"/>
          <w:szCs w:val="21"/>
        </w:rPr>
        <w:t>(It’s a woman who gave birth to a man; it’s a woman who gave birth to a chief)” (Steady 1985, 65).  Additionally, the Asante Union had one formal leadership position held by a woman: the </w:t>
      </w:r>
      <w:proofErr w:type="spellStart"/>
      <w:r w:rsidRPr="00337631">
        <w:rPr>
          <w:rFonts w:ascii="Georgia" w:eastAsia="Times New Roman" w:hAnsi="Georgia" w:cs="Times New Roman"/>
          <w:i/>
          <w:iCs/>
          <w:color w:val="2A2A2A"/>
          <w:sz w:val="21"/>
          <w:szCs w:val="21"/>
        </w:rPr>
        <w:t>ohemaa</w:t>
      </w:r>
      <w:proofErr w:type="spellEnd"/>
      <w:r w:rsidRPr="00337631">
        <w:rPr>
          <w:rFonts w:ascii="Georgia" w:eastAsia="Times New Roman" w:hAnsi="Georgia" w:cs="Times New Roman"/>
          <w:color w:val="2A2A2A"/>
          <w:sz w:val="21"/>
          <w:szCs w:val="21"/>
        </w:rPr>
        <w:t>, or female leader or queen mother.   The significance of this position, usually held by the mother or sister of a male chief, was that it was not that of a mere figurehead.  “The queen mother’s obligation to advise and guide the chief, including her right to criticize and rebuke him in public, was a constitutional duty,” Dr. Aidoo noted.  “A queen mother who failed to perform the counseling duty was liable to deposition or destoolment” (Steady 1985, 66).</w:t>
      </w:r>
    </w:p>
    <w:p w14:paraId="68F71978"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6A98F020"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Following Osei Tutu’s death in 1717 his grandnephew, Opoku Ware, assumed power.  Ruling for 30 years, “Opoku Ware’s reign was principally one of wars, of conquests, and of campaigns against tributary states who dared to challenge Asante’s might by rebellion” (Stride and </w:t>
      </w:r>
      <w:proofErr w:type="spellStart"/>
      <w:r w:rsidRPr="00337631">
        <w:rPr>
          <w:rFonts w:ascii="Georgia" w:eastAsia="Times New Roman" w:hAnsi="Georgia" w:cs="Times New Roman"/>
          <w:color w:val="2A2A2A"/>
          <w:sz w:val="21"/>
          <w:szCs w:val="21"/>
        </w:rPr>
        <w:t>Ifeka</w:t>
      </w:r>
      <w:proofErr w:type="spellEnd"/>
      <w:r w:rsidRPr="00337631">
        <w:rPr>
          <w:rFonts w:ascii="Georgia" w:eastAsia="Times New Roman" w:hAnsi="Georgia" w:cs="Times New Roman"/>
          <w:color w:val="2A2A2A"/>
          <w:sz w:val="21"/>
          <w:szCs w:val="21"/>
        </w:rPr>
        <w:t xml:space="preserve"> 1971, 264).  At the time of Opoku Ware’s death in 1750 Asante comprised almost 100,000 square miles with roughly 1.5 million inhabitants.  Other Asante rulers continued the effort to strengthen both the nation’s bureaucracy and its economy.  As a result, by the 1820s Kumasi had a population of nearly 20,000 people and a highly centralized government with three branches: provincial administration, government service, and finance (Robinson and Smith 1979, 162).  The Asante Empire engaged in flourishing trade, taking advantage of its control over extensive trade routes.  Asante traders exchanged items as varied as kola nuts, gold, and enslaved captives to African and Arab merchants to the north and European merchants to the south.  In return, they received weaponry, finished goods, and in fact, the growth of the trans-Atlantic trade in human cargo benefitted Asante rulers by ushering in significant profits.  However, this trade in enslaved Africans led to an increasingly antagonistic relationship with outlying states in the empire, since such captives were also the primary source of labor in the gold fields.  (Please see Module IV for a fuller discussion of the trans-Atlantic Trade in Human Cargo.)</w:t>
      </w:r>
    </w:p>
    <w:p w14:paraId="4D53D644" w14:textId="0840EC2C" w:rsidR="00337631" w:rsidRDefault="00337631" w:rsidP="00771565"/>
    <w:p w14:paraId="7F492681" w14:textId="77777777" w:rsidR="00337631" w:rsidRPr="00337631" w:rsidRDefault="00337631" w:rsidP="00337631">
      <w:pPr>
        <w:pBdr>
          <w:bottom w:val="single" w:sz="6" w:space="5" w:color="auto"/>
        </w:pBdr>
        <w:shd w:val="clear" w:color="auto" w:fill="FFFFFF"/>
        <w:spacing w:before="150" w:after="60" w:line="240" w:lineRule="auto"/>
        <w:outlineLvl w:val="0"/>
        <w:rPr>
          <w:rFonts w:ascii="Century Gothic" w:eastAsia="Times New Roman" w:hAnsi="Century Gothic" w:cs="Times New Roman"/>
          <w:b/>
          <w:bCs/>
          <w:caps/>
          <w:color w:val="048F38"/>
          <w:kern w:val="36"/>
          <w:sz w:val="30"/>
          <w:szCs w:val="30"/>
        </w:rPr>
      </w:pPr>
      <w:r w:rsidRPr="00337631">
        <w:rPr>
          <w:rFonts w:ascii="Century Gothic" w:eastAsia="Times New Roman" w:hAnsi="Century Gothic" w:cs="Times New Roman"/>
          <w:b/>
          <w:bCs/>
          <w:caps/>
          <w:color w:val="048F38"/>
          <w:kern w:val="36"/>
          <w:sz w:val="30"/>
          <w:szCs w:val="30"/>
        </w:rPr>
        <w:t>GREAT ZIMBABWE</w:t>
      </w:r>
    </w:p>
    <w:p w14:paraId="345711AF"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During the period of Mali’s ascension in West Africa, a sophisticated early Shona society emerged in Southern Africa: Great Zimbabwe.  Between approximately 1200-1450 CE the Shona, who were masters of dry stonewalling, built </w:t>
      </w:r>
      <w:proofErr w:type="spellStart"/>
      <w:r w:rsidRPr="00337631">
        <w:rPr>
          <w:rFonts w:ascii="Georgia" w:eastAsia="Times New Roman" w:hAnsi="Georgia" w:cs="Times New Roman"/>
          <w:i/>
          <w:iCs/>
          <w:color w:val="2A2A2A"/>
          <w:sz w:val="21"/>
          <w:szCs w:val="21"/>
        </w:rPr>
        <w:t>dzimba</w:t>
      </w:r>
      <w:proofErr w:type="spellEnd"/>
      <w:r w:rsidRPr="00337631">
        <w:rPr>
          <w:rFonts w:ascii="Georgia" w:eastAsia="Times New Roman" w:hAnsi="Georgia" w:cs="Times New Roman"/>
          <w:i/>
          <w:iCs/>
          <w:color w:val="2A2A2A"/>
          <w:sz w:val="21"/>
          <w:szCs w:val="21"/>
        </w:rPr>
        <w:t xml:space="preserve"> </w:t>
      </w:r>
      <w:proofErr w:type="spellStart"/>
      <w:r w:rsidRPr="00337631">
        <w:rPr>
          <w:rFonts w:ascii="Georgia" w:eastAsia="Times New Roman" w:hAnsi="Georgia" w:cs="Times New Roman"/>
          <w:i/>
          <w:iCs/>
          <w:color w:val="2A2A2A"/>
          <w:sz w:val="21"/>
          <w:szCs w:val="21"/>
        </w:rPr>
        <w:t>dzamabwe</w:t>
      </w:r>
      <w:proofErr w:type="spellEnd"/>
      <w:r w:rsidRPr="00337631">
        <w:rPr>
          <w:rFonts w:ascii="Georgia" w:eastAsia="Times New Roman" w:hAnsi="Georgia" w:cs="Times New Roman"/>
          <w:i/>
          <w:iCs/>
          <w:color w:val="2A2A2A"/>
          <w:sz w:val="21"/>
          <w:szCs w:val="21"/>
        </w:rPr>
        <w:t>, </w:t>
      </w:r>
      <w:r w:rsidRPr="00337631">
        <w:rPr>
          <w:rFonts w:ascii="Georgia" w:eastAsia="Times New Roman" w:hAnsi="Georgia" w:cs="Times New Roman"/>
          <w:color w:val="2A2A2A"/>
          <w:sz w:val="21"/>
          <w:szCs w:val="21"/>
        </w:rPr>
        <w:t xml:space="preserve">or stone buildings, to surround the homes of elite members of society and to confine cattle.  Cattle keeping had been a key fixture of Shona culture and commerce for centuries; however, during the rise of Great Zimbabwe, it took on even greater foundational significance as part of an extremely diversified economy.  Located on the southern edge of the plateau and just north of the valley between the Zambezi and Limpopo rivers, it was well situated to exploit both natural resources and key trade routes.  There was territory for seasonal cattle grazing, a supply of elephants for highly coveted ivory, gold, and copper fields to the west, and </w:t>
      </w:r>
      <w:r w:rsidRPr="00337631">
        <w:rPr>
          <w:rFonts w:ascii="Georgia" w:eastAsia="Times New Roman" w:hAnsi="Georgia" w:cs="Times New Roman"/>
          <w:color w:val="2A2A2A"/>
          <w:sz w:val="21"/>
          <w:szCs w:val="21"/>
        </w:rPr>
        <w:lastRenderedPageBreak/>
        <w:t xml:space="preserve">fertile soil for cultivation.  As early as 1000, Great Zimbabwe produced and exported gold, ivory, timber, cattle, and fine jewelry east along the </w:t>
      </w:r>
      <w:proofErr w:type="spellStart"/>
      <w:r w:rsidRPr="00337631">
        <w:rPr>
          <w:rFonts w:ascii="Georgia" w:eastAsia="Times New Roman" w:hAnsi="Georgia" w:cs="Times New Roman"/>
          <w:color w:val="2A2A2A"/>
          <w:sz w:val="21"/>
          <w:szCs w:val="21"/>
        </w:rPr>
        <w:t>Sabi</w:t>
      </w:r>
      <w:proofErr w:type="spellEnd"/>
      <w:r w:rsidRPr="00337631">
        <w:rPr>
          <w:rFonts w:ascii="Georgia" w:eastAsia="Times New Roman" w:hAnsi="Georgia" w:cs="Times New Roman"/>
          <w:color w:val="2A2A2A"/>
          <w:sz w:val="21"/>
          <w:szCs w:val="21"/>
        </w:rPr>
        <w:t xml:space="preserve"> River toward the trading center of </w:t>
      </w:r>
      <w:proofErr w:type="spellStart"/>
      <w:r w:rsidRPr="00337631">
        <w:rPr>
          <w:rFonts w:ascii="Georgia" w:eastAsia="Times New Roman" w:hAnsi="Georgia" w:cs="Times New Roman"/>
          <w:color w:val="2A2A2A"/>
          <w:sz w:val="21"/>
          <w:szCs w:val="21"/>
        </w:rPr>
        <w:t>Kilwa</w:t>
      </w:r>
      <w:proofErr w:type="spellEnd"/>
      <w:r w:rsidRPr="00337631">
        <w:rPr>
          <w:rFonts w:ascii="Georgia" w:eastAsia="Times New Roman" w:hAnsi="Georgia" w:cs="Times New Roman"/>
          <w:color w:val="2A2A2A"/>
          <w:sz w:val="21"/>
          <w:szCs w:val="21"/>
        </w:rPr>
        <w:t xml:space="preserve"> on the Swahili Coast.  In return, the Shona elite imported finished goods and brightly colored textiles from India, Persia, and China as part of a thriving Indian Ocean trade </w:t>
      </w:r>
      <w:proofErr w:type="gramStart"/>
      <w:r w:rsidRPr="00337631">
        <w:rPr>
          <w:rFonts w:ascii="Georgia" w:eastAsia="Times New Roman" w:hAnsi="Georgia" w:cs="Times New Roman"/>
          <w:color w:val="2A2A2A"/>
          <w:sz w:val="21"/>
          <w:szCs w:val="21"/>
        </w:rPr>
        <w:t>and also</w:t>
      </w:r>
      <w:proofErr w:type="gramEnd"/>
      <w:r w:rsidRPr="00337631">
        <w:rPr>
          <w:rFonts w:ascii="Georgia" w:eastAsia="Times New Roman" w:hAnsi="Georgia" w:cs="Times New Roman"/>
          <w:color w:val="2A2A2A"/>
          <w:sz w:val="21"/>
          <w:szCs w:val="21"/>
        </w:rPr>
        <w:t xml:space="preserve"> as “material evidence of the splendor in which medieval rulers of Great Zimbabwe lived” (</w:t>
      </w:r>
      <w:proofErr w:type="spellStart"/>
      <w:r w:rsidRPr="00337631">
        <w:rPr>
          <w:rFonts w:ascii="Georgia" w:eastAsia="Times New Roman" w:hAnsi="Georgia" w:cs="Times New Roman"/>
          <w:color w:val="2A2A2A"/>
          <w:sz w:val="21"/>
          <w:szCs w:val="21"/>
        </w:rPr>
        <w:t>Khapoya</w:t>
      </w:r>
      <w:proofErr w:type="spellEnd"/>
      <w:r w:rsidRPr="00337631">
        <w:rPr>
          <w:rFonts w:ascii="Georgia" w:eastAsia="Times New Roman" w:hAnsi="Georgia" w:cs="Times New Roman"/>
          <w:color w:val="2A2A2A"/>
          <w:sz w:val="21"/>
          <w:szCs w:val="21"/>
        </w:rPr>
        <w:t xml:space="preserve"> 2012, 80).  At its high point the capital city comprised roughly 11,000 inhabitants.  However, by 1450 the Shona abandoned the capital site because the region could no longer support them (Shillington 2005, 147—151).</w:t>
      </w:r>
    </w:p>
    <w:p w14:paraId="0B4E32EE"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w:t>
      </w:r>
    </w:p>
    <w:p w14:paraId="52048B75" w14:textId="77777777" w:rsidR="00337631" w:rsidRPr="00337631" w:rsidRDefault="00337631" w:rsidP="00337631">
      <w:pPr>
        <w:shd w:val="clear" w:color="auto" w:fill="FFFFFF"/>
        <w:spacing w:after="0" w:line="240" w:lineRule="auto"/>
        <w:rPr>
          <w:rFonts w:ascii="Georgia" w:eastAsia="Times New Roman" w:hAnsi="Georgia" w:cs="Times New Roman"/>
          <w:color w:val="2A2A2A"/>
          <w:sz w:val="21"/>
          <w:szCs w:val="21"/>
        </w:rPr>
      </w:pPr>
      <w:r w:rsidRPr="00337631">
        <w:rPr>
          <w:rFonts w:ascii="Georgia" w:eastAsia="Times New Roman" w:hAnsi="Georgia" w:cs="Times New Roman"/>
          <w:color w:val="2A2A2A"/>
          <w:sz w:val="21"/>
          <w:szCs w:val="21"/>
        </w:rPr>
        <w:t xml:space="preserve">Archaeologists and other scholars continue to marvel at the technical wonder of Great Zimbabwe structures and stonewalls.  The early Europeans who saw the stone structures at Great Zimbabwe believed that the architecture could not have been built by locals and developed tendentious theories that it was the work of the Phoenicians.  However, archaeological evidence points to the structures as a local civilization, as these structures are a common feature in Southern Africa.  Skilled craftsmen fashioned some of the first enclosures out of granite boulders on the plateau, initially for religious purposes exclusively and eventually to set off the capital of the Shona state.  Throughout the early fourteenth century stonemasons built a vast enclosure for royalty in the valley below the hilltop.  In time stonemasons encircled this enclosure with an even taller higher wall—over 30 feet high—that made for a narrow passageway leading directly to the royal palace.  Its builders topped this exterior wall with a chevron and checkered design that became associated with the later </w:t>
      </w:r>
      <w:proofErr w:type="spellStart"/>
      <w:r w:rsidRPr="00337631">
        <w:rPr>
          <w:rFonts w:ascii="Georgia" w:eastAsia="Times New Roman" w:hAnsi="Georgia" w:cs="Times New Roman"/>
          <w:color w:val="2A2A2A"/>
          <w:sz w:val="21"/>
          <w:szCs w:val="21"/>
        </w:rPr>
        <w:t>Khami</w:t>
      </w:r>
      <w:proofErr w:type="spellEnd"/>
      <w:r w:rsidRPr="00337631">
        <w:rPr>
          <w:rFonts w:ascii="Georgia" w:eastAsia="Times New Roman" w:hAnsi="Georgia" w:cs="Times New Roman"/>
          <w:color w:val="2A2A2A"/>
          <w:sz w:val="21"/>
          <w:szCs w:val="21"/>
        </w:rPr>
        <w:t xml:space="preserve"> state (UNESCO).  What is most remarkable about these structures is that the Shona stonemasons of both Great Zimbabwe and </w:t>
      </w:r>
      <w:proofErr w:type="spellStart"/>
      <w:r w:rsidRPr="00337631">
        <w:rPr>
          <w:rFonts w:ascii="Georgia" w:eastAsia="Times New Roman" w:hAnsi="Georgia" w:cs="Times New Roman"/>
          <w:color w:val="2A2A2A"/>
          <w:sz w:val="21"/>
          <w:szCs w:val="21"/>
        </w:rPr>
        <w:t>Khami</w:t>
      </w:r>
      <w:proofErr w:type="spellEnd"/>
      <w:r w:rsidRPr="00337631">
        <w:rPr>
          <w:rFonts w:ascii="Georgia" w:eastAsia="Times New Roman" w:hAnsi="Georgia" w:cs="Times New Roman"/>
          <w:color w:val="2A2A2A"/>
          <w:sz w:val="21"/>
          <w:szCs w:val="21"/>
        </w:rPr>
        <w:t xml:space="preserve"> built these structures, many of which still stand today, without the use of mortar.  “The original </w:t>
      </w:r>
      <w:proofErr w:type="spellStart"/>
      <w:r w:rsidRPr="00337631">
        <w:rPr>
          <w:rFonts w:ascii="Georgia" w:eastAsia="Times New Roman" w:hAnsi="Georgia" w:cs="Times New Roman"/>
          <w:color w:val="2A2A2A"/>
          <w:sz w:val="21"/>
          <w:szCs w:val="21"/>
        </w:rPr>
        <w:t>stoneworks</w:t>
      </w:r>
      <w:proofErr w:type="spellEnd"/>
      <w:r w:rsidRPr="00337631">
        <w:rPr>
          <w:rFonts w:ascii="Georgia" w:eastAsia="Times New Roman" w:hAnsi="Georgia" w:cs="Times New Roman"/>
          <w:color w:val="2A2A2A"/>
          <w:sz w:val="21"/>
          <w:szCs w:val="21"/>
        </w:rPr>
        <w:t xml:space="preserve"> on the hilltop may have been intended for </w:t>
      </w:r>
      <w:proofErr w:type="spellStart"/>
      <w:r w:rsidRPr="00337631">
        <w:rPr>
          <w:rFonts w:ascii="Georgia" w:eastAsia="Times New Roman" w:hAnsi="Georgia" w:cs="Times New Roman"/>
          <w:color w:val="2A2A2A"/>
          <w:sz w:val="21"/>
          <w:szCs w:val="21"/>
        </w:rPr>
        <w:t>defence</w:t>
      </w:r>
      <w:proofErr w:type="spellEnd"/>
      <w:r w:rsidRPr="00337631">
        <w:rPr>
          <w:rFonts w:ascii="Georgia" w:eastAsia="Times New Roman" w:hAnsi="Georgia" w:cs="Times New Roman"/>
          <w:color w:val="2A2A2A"/>
          <w:sz w:val="21"/>
          <w:szCs w:val="21"/>
        </w:rPr>
        <w:t xml:space="preserve">, or to impress potential enemies from afar.  But it is unlikely that the later elaborate enclosures of the valley were ever built for defensive purposes,” historian Kevin Shillington has noted.  “One is led to conclude that the main purpose of the Great Zimbabwe enclosures was to </w:t>
      </w:r>
      <w:proofErr w:type="spellStart"/>
      <w:r w:rsidRPr="00337631">
        <w:rPr>
          <w:rFonts w:ascii="Georgia" w:eastAsia="Times New Roman" w:hAnsi="Georgia" w:cs="Times New Roman"/>
          <w:color w:val="2A2A2A"/>
          <w:sz w:val="21"/>
          <w:szCs w:val="21"/>
        </w:rPr>
        <w:t>emphasise</w:t>
      </w:r>
      <w:proofErr w:type="spellEnd"/>
      <w:r w:rsidRPr="00337631">
        <w:rPr>
          <w:rFonts w:ascii="Georgia" w:eastAsia="Times New Roman" w:hAnsi="Georgia" w:cs="Times New Roman"/>
          <w:color w:val="2A2A2A"/>
          <w:sz w:val="21"/>
          <w:szCs w:val="21"/>
        </w:rPr>
        <w:t xml:space="preserve"> and enhance the mystery, power and prestige of the king” (Shillington 2005, 148).</w:t>
      </w:r>
    </w:p>
    <w:p w14:paraId="3DB100B8" w14:textId="77777777" w:rsidR="00337631" w:rsidRPr="00771565" w:rsidRDefault="00337631" w:rsidP="00771565">
      <w:bookmarkStart w:id="0" w:name="_GoBack"/>
      <w:bookmarkEnd w:id="0"/>
    </w:p>
    <w:sectPr w:rsidR="00337631" w:rsidRPr="00771565" w:rsidSect="00CB31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732C28"/>
    <w:multiLevelType w:val="multilevel"/>
    <w:tmpl w:val="18F02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6941CF"/>
    <w:multiLevelType w:val="multilevel"/>
    <w:tmpl w:val="B7024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7384A"/>
    <w:rsid w:val="000363F6"/>
    <w:rsid w:val="001411CE"/>
    <w:rsid w:val="001B3993"/>
    <w:rsid w:val="00204210"/>
    <w:rsid w:val="002A782C"/>
    <w:rsid w:val="002D6759"/>
    <w:rsid w:val="00337631"/>
    <w:rsid w:val="00413EB6"/>
    <w:rsid w:val="0047384A"/>
    <w:rsid w:val="004C6AFC"/>
    <w:rsid w:val="004D3588"/>
    <w:rsid w:val="005328ED"/>
    <w:rsid w:val="005A37B2"/>
    <w:rsid w:val="005E46B3"/>
    <w:rsid w:val="00647A38"/>
    <w:rsid w:val="006D3AC9"/>
    <w:rsid w:val="00732EC3"/>
    <w:rsid w:val="00771565"/>
    <w:rsid w:val="00843CE4"/>
    <w:rsid w:val="0085778F"/>
    <w:rsid w:val="00886903"/>
    <w:rsid w:val="008B4555"/>
    <w:rsid w:val="00A12727"/>
    <w:rsid w:val="00A444C4"/>
    <w:rsid w:val="00A92D47"/>
    <w:rsid w:val="00AD335E"/>
    <w:rsid w:val="00B640A1"/>
    <w:rsid w:val="00B656DF"/>
    <w:rsid w:val="00B805CC"/>
    <w:rsid w:val="00CB31C2"/>
    <w:rsid w:val="00CC1D08"/>
    <w:rsid w:val="00D55363"/>
    <w:rsid w:val="00D603C8"/>
    <w:rsid w:val="00DD2D29"/>
    <w:rsid w:val="00E0643A"/>
    <w:rsid w:val="00E45CF5"/>
    <w:rsid w:val="00F03E56"/>
    <w:rsid w:val="00FB6A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97C68"/>
  <w15:docId w15:val="{3E94EBE2-A804-415A-9A29-AA0756A7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1C2"/>
  </w:style>
  <w:style w:type="paragraph" w:styleId="Heading1">
    <w:name w:val="heading 1"/>
    <w:basedOn w:val="Normal"/>
    <w:link w:val="Heading1Char"/>
    <w:uiPriority w:val="9"/>
    <w:qFormat/>
    <w:rsid w:val="00413E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2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210"/>
    <w:rPr>
      <w:rFonts w:ascii="Tahoma" w:hAnsi="Tahoma" w:cs="Tahoma"/>
      <w:sz w:val="16"/>
      <w:szCs w:val="16"/>
    </w:rPr>
  </w:style>
  <w:style w:type="character" w:customStyle="1" w:styleId="termtext">
    <w:name w:val="termtext"/>
    <w:basedOn w:val="DefaultParagraphFont"/>
    <w:rsid w:val="00CC1D08"/>
  </w:style>
  <w:style w:type="paragraph" w:styleId="NormalWeb">
    <w:name w:val="Normal (Web)"/>
    <w:basedOn w:val="Normal"/>
    <w:uiPriority w:val="99"/>
    <w:semiHidden/>
    <w:unhideWhenUsed/>
    <w:rsid w:val="00732E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13EB6"/>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77156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05204">
      <w:bodyDiv w:val="1"/>
      <w:marLeft w:val="0"/>
      <w:marRight w:val="0"/>
      <w:marTop w:val="0"/>
      <w:marBottom w:val="0"/>
      <w:divBdr>
        <w:top w:val="none" w:sz="0" w:space="0" w:color="auto"/>
        <w:left w:val="none" w:sz="0" w:space="0" w:color="auto"/>
        <w:bottom w:val="none" w:sz="0" w:space="0" w:color="auto"/>
        <w:right w:val="none" w:sz="0" w:space="0" w:color="auto"/>
      </w:divBdr>
    </w:div>
    <w:div w:id="295643818">
      <w:bodyDiv w:val="1"/>
      <w:marLeft w:val="0"/>
      <w:marRight w:val="0"/>
      <w:marTop w:val="0"/>
      <w:marBottom w:val="0"/>
      <w:divBdr>
        <w:top w:val="none" w:sz="0" w:space="0" w:color="auto"/>
        <w:left w:val="none" w:sz="0" w:space="0" w:color="auto"/>
        <w:bottom w:val="none" w:sz="0" w:space="0" w:color="auto"/>
        <w:right w:val="none" w:sz="0" w:space="0" w:color="auto"/>
      </w:divBdr>
      <w:divsChild>
        <w:div w:id="1441952262">
          <w:marLeft w:val="0"/>
          <w:marRight w:val="0"/>
          <w:marTop w:val="0"/>
          <w:marBottom w:val="0"/>
          <w:divBdr>
            <w:top w:val="none" w:sz="0" w:space="0" w:color="auto"/>
            <w:left w:val="none" w:sz="0" w:space="0" w:color="auto"/>
            <w:bottom w:val="none" w:sz="0" w:space="0" w:color="auto"/>
            <w:right w:val="none" w:sz="0" w:space="0" w:color="auto"/>
          </w:divBdr>
          <w:divsChild>
            <w:div w:id="458181132">
              <w:marLeft w:val="0"/>
              <w:marRight w:val="0"/>
              <w:marTop w:val="0"/>
              <w:marBottom w:val="0"/>
              <w:divBdr>
                <w:top w:val="none" w:sz="0" w:space="0" w:color="auto"/>
                <w:left w:val="none" w:sz="0" w:space="0" w:color="auto"/>
                <w:bottom w:val="none" w:sz="0" w:space="0" w:color="auto"/>
                <w:right w:val="none" w:sz="0" w:space="0" w:color="auto"/>
              </w:divBdr>
              <w:divsChild>
                <w:div w:id="503328211">
                  <w:marLeft w:val="0"/>
                  <w:marRight w:val="0"/>
                  <w:marTop w:val="0"/>
                  <w:marBottom w:val="0"/>
                  <w:divBdr>
                    <w:top w:val="none" w:sz="0" w:space="0" w:color="auto"/>
                    <w:left w:val="none" w:sz="0" w:space="0" w:color="auto"/>
                    <w:bottom w:val="none" w:sz="0" w:space="0" w:color="auto"/>
                    <w:right w:val="none" w:sz="0" w:space="0" w:color="auto"/>
                  </w:divBdr>
                  <w:divsChild>
                    <w:div w:id="1546990883">
                      <w:marLeft w:val="0"/>
                      <w:marRight w:val="0"/>
                      <w:marTop w:val="0"/>
                      <w:marBottom w:val="0"/>
                      <w:divBdr>
                        <w:top w:val="none" w:sz="0" w:space="0" w:color="auto"/>
                        <w:left w:val="none" w:sz="0" w:space="0" w:color="auto"/>
                        <w:bottom w:val="none" w:sz="0" w:space="0" w:color="auto"/>
                        <w:right w:val="none" w:sz="0" w:space="0" w:color="auto"/>
                      </w:divBdr>
                      <w:divsChild>
                        <w:div w:id="2130315514">
                          <w:marLeft w:val="0"/>
                          <w:marRight w:val="0"/>
                          <w:marTop w:val="0"/>
                          <w:marBottom w:val="0"/>
                          <w:divBdr>
                            <w:top w:val="none" w:sz="0" w:space="0" w:color="auto"/>
                            <w:left w:val="none" w:sz="0" w:space="0" w:color="auto"/>
                            <w:bottom w:val="none" w:sz="0" w:space="0" w:color="auto"/>
                            <w:right w:val="none" w:sz="0" w:space="0" w:color="auto"/>
                          </w:divBdr>
                          <w:divsChild>
                            <w:div w:id="16275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0912658">
      <w:bodyDiv w:val="1"/>
      <w:marLeft w:val="0"/>
      <w:marRight w:val="0"/>
      <w:marTop w:val="0"/>
      <w:marBottom w:val="0"/>
      <w:divBdr>
        <w:top w:val="none" w:sz="0" w:space="0" w:color="auto"/>
        <w:left w:val="none" w:sz="0" w:space="0" w:color="auto"/>
        <w:bottom w:val="none" w:sz="0" w:space="0" w:color="auto"/>
        <w:right w:val="none" w:sz="0" w:space="0" w:color="auto"/>
      </w:divBdr>
      <w:divsChild>
        <w:div w:id="1616935854">
          <w:marLeft w:val="0"/>
          <w:marRight w:val="0"/>
          <w:marTop w:val="0"/>
          <w:marBottom w:val="0"/>
          <w:divBdr>
            <w:top w:val="none" w:sz="0" w:space="0" w:color="auto"/>
            <w:left w:val="none" w:sz="0" w:space="0" w:color="auto"/>
            <w:bottom w:val="none" w:sz="0" w:space="0" w:color="auto"/>
            <w:right w:val="none" w:sz="0" w:space="0" w:color="auto"/>
          </w:divBdr>
          <w:divsChild>
            <w:div w:id="679939199">
              <w:marLeft w:val="0"/>
              <w:marRight w:val="0"/>
              <w:marTop w:val="0"/>
              <w:marBottom w:val="0"/>
              <w:divBdr>
                <w:top w:val="none" w:sz="0" w:space="0" w:color="auto"/>
                <w:left w:val="none" w:sz="0" w:space="0" w:color="auto"/>
                <w:bottom w:val="none" w:sz="0" w:space="0" w:color="auto"/>
                <w:right w:val="none" w:sz="0" w:space="0" w:color="auto"/>
              </w:divBdr>
              <w:divsChild>
                <w:div w:id="1326788659">
                  <w:marLeft w:val="0"/>
                  <w:marRight w:val="0"/>
                  <w:marTop w:val="0"/>
                  <w:marBottom w:val="0"/>
                  <w:divBdr>
                    <w:top w:val="none" w:sz="0" w:space="0" w:color="auto"/>
                    <w:left w:val="none" w:sz="0" w:space="0" w:color="auto"/>
                    <w:bottom w:val="none" w:sz="0" w:space="0" w:color="auto"/>
                    <w:right w:val="none" w:sz="0" w:space="0" w:color="auto"/>
                  </w:divBdr>
                  <w:divsChild>
                    <w:div w:id="434834238">
                      <w:marLeft w:val="0"/>
                      <w:marRight w:val="0"/>
                      <w:marTop w:val="0"/>
                      <w:marBottom w:val="0"/>
                      <w:divBdr>
                        <w:top w:val="none" w:sz="0" w:space="0" w:color="auto"/>
                        <w:left w:val="none" w:sz="0" w:space="0" w:color="auto"/>
                        <w:bottom w:val="none" w:sz="0" w:space="0" w:color="auto"/>
                        <w:right w:val="none" w:sz="0" w:space="0" w:color="auto"/>
                      </w:divBdr>
                      <w:divsChild>
                        <w:div w:id="1227573440">
                          <w:marLeft w:val="0"/>
                          <w:marRight w:val="0"/>
                          <w:marTop w:val="0"/>
                          <w:marBottom w:val="0"/>
                          <w:divBdr>
                            <w:top w:val="none" w:sz="0" w:space="0" w:color="auto"/>
                            <w:left w:val="none" w:sz="0" w:space="0" w:color="auto"/>
                            <w:bottom w:val="none" w:sz="0" w:space="0" w:color="auto"/>
                            <w:right w:val="none" w:sz="0" w:space="0" w:color="auto"/>
                          </w:divBdr>
                          <w:divsChild>
                            <w:div w:id="137870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0738353">
      <w:bodyDiv w:val="1"/>
      <w:marLeft w:val="0"/>
      <w:marRight w:val="0"/>
      <w:marTop w:val="0"/>
      <w:marBottom w:val="0"/>
      <w:divBdr>
        <w:top w:val="none" w:sz="0" w:space="0" w:color="auto"/>
        <w:left w:val="none" w:sz="0" w:space="0" w:color="auto"/>
        <w:bottom w:val="none" w:sz="0" w:space="0" w:color="auto"/>
        <w:right w:val="none" w:sz="0" w:space="0" w:color="auto"/>
      </w:divBdr>
      <w:divsChild>
        <w:div w:id="1484734703">
          <w:marLeft w:val="0"/>
          <w:marRight w:val="0"/>
          <w:marTop w:val="0"/>
          <w:marBottom w:val="0"/>
          <w:divBdr>
            <w:top w:val="none" w:sz="0" w:space="0" w:color="auto"/>
            <w:left w:val="none" w:sz="0" w:space="0" w:color="auto"/>
            <w:bottom w:val="none" w:sz="0" w:space="0" w:color="auto"/>
            <w:right w:val="none" w:sz="0" w:space="0" w:color="auto"/>
          </w:divBdr>
          <w:divsChild>
            <w:div w:id="644089211">
              <w:marLeft w:val="0"/>
              <w:marRight w:val="0"/>
              <w:marTop w:val="0"/>
              <w:marBottom w:val="0"/>
              <w:divBdr>
                <w:top w:val="none" w:sz="0" w:space="0" w:color="auto"/>
                <w:left w:val="none" w:sz="0" w:space="0" w:color="auto"/>
                <w:bottom w:val="none" w:sz="0" w:space="0" w:color="auto"/>
                <w:right w:val="none" w:sz="0" w:space="0" w:color="auto"/>
              </w:divBdr>
              <w:divsChild>
                <w:div w:id="494418162">
                  <w:marLeft w:val="0"/>
                  <w:marRight w:val="0"/>
                  <w:marTop w:val="0"/>
                  <w:marBottom w:val="0"/>
                  <w:divBdr>
                    <w:top w:val="none" w:sz="0" w:space="0" w:color="auto"/>
                    <w:left w:val="none" w:sz="0" w:space="0" w:color="auto"/>
                    <w:bottom w:val="none" w:sz="0" w:space="0" w:color="auto"/>
                    <w:right w:val="none" w:sz="0" w:space="0" w:color="auto"/>
                  </w:divBdr>
                  <w:divsChild>
                    <w:div w:id="774637115">
                      <w:marLeft w:val="0"/>
                      <w:marRight w:val="0"/>
                      <w:marTop w:val="0"/>
                      <w:marBottom w:val="0"/>
                      <w:divBdr>
                        <w:top w:val="none" w:sz="0" w:space="0" w:color="auto"/>
                        <w:left w:val="none" w:sz="0" w:space="0" w:color="auto"/>
                        <w:bottom w:val="none" w:sz="0" w:space="0" w:color="auto"/>
                        <w:right w:val="none" w:sz="0" w:space="0" w:color="auto"/>
                      </w:divBdr>
                      <w:divsChild>
                        <w:div w:id="1428698520">
                          <w:marLeft w:val="0"/>
                          <w:marRight w:val="0"/>
                          <w:marTop w:val="0"/>
                          <w:marBottom w:val="0"/>
                          <w:divBdr>
                            <w:top w:val="none" w:sz="0" w:space="0" w:color="auto"/>
                            <w:left w:val="none" w:sz="0" w:space="0" w:color="auto"/>
                            <w:bottom w:val="none" w:sz="0" w:space="0" w:color="auto"/>
                            <w:right w:val="none" w:sz="0" w:space="0" w:color="auto"/>
                          </w:divBdr>
                          <w:divsChild>
                            <w:div w:id="60145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143398">
      <w:bodyDiv w:val="1"/>
      <w:marLeft w:val="0"/>
      <w:marRight w:val="0"/>
      <w:marTop w:val="0"/>
      <w:marBottom w:val="0"/>
      <w:divBdr>
        <w:top w:val="none" w:sz="0" w:space="0" w:color="auto"/>
        <w:left w:val="none" w:sz="0" w:space="0" w:color="auto"/>
        <w:bottom w:val="none" w:sz="0" w:space="0" w:color="auto"/>
        <w:right w:val="none" w:sz="0" w:space="0" w:color="auto"/>
      </w:divBdr>
      <w:divsChild>
        <w:div w:id="692151497">
          <w:marLeft w:val="0"/>
          <w:marRight w:val="0"/>
          <w:marTop w:val="0"/>
          <w:marBottom w:val="0"/>
          <w:divBdr>
            <w:top w:val="none" w:sz="0" w:space="0" w:color="auto"/>
            <w:left w:val="none" w:sz="0" w:space="0" w:color="auto"/>
            <w:bottom w:val="none" w:sz="0" w:space="0" w:color="auto"/>
            <w:right w:val="none" w:sz="0" w:space="0" w:color="auto"/>
          </w:divBdr>
          <w:divsChild>
            <w:div w:id="1107773446">
              <w:marLeft w:val="0"/>
              <w:marRight w:val="0"/>
              <w:marTop w:val="0"/>
              <w:marBottom w:val="0"/>
              <w:divBdr>
                <w:top w:val="none" w:sz="0" w:space="0" w:color="auto"/>
                <w:left w:val="none" w:sz="0" w:space="0" w:color="auto"/>
                <w:bottom w:val="none" w:sz="0" w:space="0" w:color="auto"/>
                <w:right w:val="none" w:sz="0" w:space="0" w:color="auto"/>
              </w:divBdr>
              <w:divsChild>
                <w:div w:id="433672653">
                  <w:marLeft w:val="0"/>
                  <w:marRight w:val="0"/>
                  <w:marTop w:val="0"/>
                  <w:marBottom w:val="0"/>
                  <w:divBdr>
                    <w:top w:val="none" w:sz="0" w:space="0" w:color="auto"/>
                    <w:left w:val="none" w:sz="0" w:space="0" w:color="auto"/>
                    <w:bottom w:val="none" w:sz="0" w:space="0" w:color="auto"/>
                    <w:right w:val="none" w:sz="0" w:space="0" w:color="auto"/>
                  </w:divBdr>
                  <w:divsChild>
                    <w:div w:id="1019968428">
                      <w:marLeft w:val="0"/>
                      <w:marRight w:val="0"/>
                      <w:marTop w:val="0"/>
                      <w:marBottom w:val="0"/>
                      <w:divBdr>
                        <w:top w:val="none" w:sz="0" w:space="0" w:color="auto"/>
                        <w:left w:val="none" w:sz="0" w:space="0" w:color="auto"/>
                        <w:bottom w:val="none" w:sz="0" w:space="0" w:color="auto"/>
                        <w:right w:val="none" w:sz="0" w:space="0" w:color="auto"/>
                      </w:divBdr>
                      <w:divsChild>
                        <w:div w:id="1236817851">
                          <w:marLeft w:val="0"/>
                          <w:marRight w:val="0"/>
                          <w:marTop w:val="0"/>
                          <w:marBottom w:val="0"/>
                          <w:divBdr>
                            <w:top w:val="none" w:sz="0" w:space="0" w:color="auto"/>
                            <w:left w:val="none" w:sz="0" w:space="0" w:color="auto"/>
                            <w:bottom w:val="none" w:sz="0" w:space="0" w:color="auto"/>
                            <w:right w:val="none" w:sz="0" w:space="0" w:color="auto"/>
                          </w:divBdr>
                          <w:divsChild>
                            <w:div w:id="194827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196976">
      <w:bodyDiv w:val="1"/>
      <w:marLeft w:val="0"/>
      <w:marRight w:val="0"/>
      <w:marTop w:val="0"/>
      <w:marBottom w:val="0"/>
      <w:divBdr>
        <w:top w:val="none" w:sz="0" w:space="0" w:color="auto"/>
        <w:left w:val="none" w:sz="0" w:space="0" w:color="auto"/>
        <w:bottom w:val="none" w:sz="0" w:space="0" w:color="auto"/>
        <w:right w:val="none" w:sz="0" w:space="0" w:color="auto"/>
      </w:divBdr>
      <w:divsChild>
        <w:div w:id="6253243">
          <w:marLeft w:val="0"/>
          <w:marRight w:val="0"/>
          <w:marTop w:val="0"/>
          <w:marBottom w:val="0"/>
          <w:divBdr>
            <w:top w:val="none" w:sz="0" w:space="0" w:color="auto"/>
            <w:left w:val="none" w:sz="0" w:space="0" w:color="auto"/>
            <w:bottom w:val="none" w:sz="0" w:space="0" w:color="auto"/>
            <w:right w:val="none" w:sz="0" w:space="0" w:color="auto"/>
          </w:divBdr>
          <w:divsChild>
            <w:div w:id="2025663791">
              <w:marLeft w:val="0"/>
              <w:marRight w:val="0"/>
              <w:marTop w:val="0"/>
              <w:marBottom w:val="0"/>
              <w:divBdr>
                <w:top w:val="none" w:sz="0" w:space="0" w:color="auto"/>
                <w:left w:val="none" w:sz="0" w:space="0" w:color="auto"/>
                <w:bottom w:val="none" w:sz="0" w:space="0" w:color="auto"/>
                <w:right w:val="none" w:sz="0" w:space="0" w:color="auto"/>
              </w:divBdr>
              <w:divsChild>
                <w:div w:id="445663791">
                  <w:marLeft w:val="0"/>
                  <w:marRight w:val="0"/>
                  <w:marTop w:val="0"/>
                  <w:marBottom w:val="0"/>
                  <w:divBdr>
                    <w:top w:val="none" w:sz="0" w:space="0" w:color="auto"/>
                    <w:left w:val="none" w:sz="0" w:space="0" w:color="auto"/>
                    <w:bottom w:val="none" w:sz="0" w:space="0" w:color="auto"/>
                    <w:right w:val="none" w:sz="0" w:space="0" w:color="auto"/>
                  </w:divBdr>
                  <w:divsChild>
                    <w:div w:id="931549540">
                      <w:marLeft w:val="0"/>
                      <w:marRight w:val="0"/>
                      <w:marTop w:val="0"/>
                      <w:marBottom w:val="0"/>
                      <w:divBdr>
                        <w:top w:val="none" w:sz="0" w:space="0" w:color="auto"/>
                        <w:left w:val="none" w:sz="0" w:space="0" w:color="auto"/>
                        <w:bottom w:val="none" w:sz="0" w:space="0" w:color="auto"/>
                        <w:right w:val="none" w:sz="0" w:space="0" w:color="auto"/>
                      </w:divBdr>
                      <w:divsChild>
                        <w:div w:id="67383030">
                          <w:marLeft w:val="0"/>
                          <w:marRight w:val="0"/>
                          <w:marTop w:val="0"/>
                          <w:marBottom w:val="0"/>
                          <w:divBdr>
                            <w:top w:val="none" w:sz="0" w:space="0" w:color="auto"/>
                            <w:left w:val="none" w:sz="0" w:space="0" w:color="auto"/>
                            <w:bottom w:val="none" w:sz="0" w:space="0" w:color="auto"/>
                            <w:right w:val="none" w:sz="0" w:space="0" w:color="auto"/>
                          </w:divBdr>
                          <w:divsChild>
                            <w:div w:id="1837837659">
                              <w:marLeft w:val="0"/>
                              <w:marRight w:val="0"/>
                              <w:marTop w:val="0"/>
                              <w:marBottom w:val="0"/>
                              <w:divBdr>
                                <w:top w:val="none" w:sz="0" w:space="0" w:color="auto"/>
                                <w:left w:val="none" w:sz="0" w:space="0" w:color="auto"/>
                                <w:bottom w:val="none" w:sz="0" w:space="0" w:color="auto"/>
                                <w:right w:val="none" w:sz="0" w:space="0" w:color="auto"/>
                              </w:divBdr>
                              <w:divsChild>
                                <w:div w:id="331640963">
                                  <w:marLeft w:val="0"/>
                                  <w:marRight w:val="0"/>
                                  <w:marTop w:val="0"/>
                                  <w:marBottom w:val="0"/>
                                  <w:divBdr>
                                    <w:top w:val="none" w:sz="0" w:space="0" w:color="auto"/>
                                    <w:left w:val="none" w:sz="0" w:space="0" w:color="auto"/>
                                    <w:bottom w:val="none" w:sz="0" w:space="0" w:color="auto"/>
                                    <w:right w:val="none" w:sz="0" w:space="0" w:color="auto"/>
                                  </w:divBdr>
                                  <w:divsChild>
                                    <w:div w:id="73480283">
                                      <w:marLeft w:val="0"/>
                                      <w:marRight w:val="0"/>
                                      <w:marTop w:val="0"/>
                                      <w:marBottom w:val="0"/>
                                      <w:divBdr>
                                        <w:top w:val="none" w:sz="0" w:space="0" w:color="auto"/>
                                        <w:left w:val="none" w:sz="0" w:space="0" w:color="auto"/>
                                        <w:bottom w:val="none" w:sz="0" w:space="0" w:color="auto"/>
                                        <w:right w:val="none" w:sz="0" w:space="0" w:color="auto"/>
                                      </w:divBdr>
                                      <w:divsChild>
                                        <w:div w:id="1687294143">
                                          <w:marLeft w:val="0"/>
                                          <w:marRight w:val="0"/>
                                          <w:marTop w:val="0"/>
                                          <w:marBottom w:val="0"/>
                                          <w:divBdr>
                                            <w:top w:val="none" w:sz="0" w:space="0" w:color="auto"/>
                                            <w:left w:val="none" w:sz="0" w:space="0" w:color="auto"/>
                                            <w:bottom w:val="none" w:sz="0" w:space="0" w:color="auto"/>
                                            <w:right w:val="none" w:sz="0" w:space="0" w:color="auto"/>
                                          </w:divBdr>
                                          <w:divsChild>
                                            <w:div w:id="1950232355">
                                              <w:marLeft w:val="0"/>
                                              <w:marRight w:val="0"/>
                                              <w:marTop w:val="0"/>
                                              <w:marBottom w:val="0"/>
                                              <w:divBdr>
                                                <w:top w:val="none" w:sz="0" w:space="0" w:color="auto"/>
                                                <w:left w:val="none" w:sz="0" w:space="0" w:color="auto"/>
                                                <w:bottom w:val="none" w:sz="0" w:space="0" w:color="auto"/>
                                                <w:right w:val="none" w:sz="0" w:space="0" w:color="auto"/>
                                              </w:divBdr>
                                              <w:divsChild>
                                                <w:div w:id="664356849">
                                                  <w:marLeft w:val="0"/>
                                                  <w:marRight w:val="0"/>
                                                  <w:marTop w:val="0"/>
                                                  <w:marBottom w:val="0"/>
                                                  <w:divBdr>
                                                    <w:top w:val="none" w:sz="0" w:space="0" w:color="auto"/>
                                                    <w:left w:val="none" w:sz="0" w:space="0" w:color="auto"/>
                                                    <w:bottom w:val="none" w:sz="0" w:space="0" w:color="auto"/>
                                                    <w:right w:val="none" w:sz="0" w:space="0" w:color="auto"/>
                                                  </w:divBdr>
                                                  <w:divsChild>
                                                    <w:div w:id="19822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0629463">
      <w:bodyDiv w:val="1"/>
      <w:marLeft w:val="0"/>
      <w:marRight w:val="0"/>
      <w:marTop w:val="0"/>
      <w:marBottom w:val="0"/>
      <w:divBdr>
        <w:top w:val="none" w:sz="0" w:space="0" w:color="auto"/>
        <w:left w:val="none" w:sz="0" w:space="0" w:color="auto"/>
        <w:bottom w:val="none" w:sz="0" w:space="0" w:color="auto"/>
        <w:right w:val="none" w:sz="0" w:space="0" w:color="auto"/>
      </w:divBdr>
    </w:div>
    <w:div w:id="1056666882">
      <w:bodyDiv w:val="1"/>
      <w:marLeft w:val="0"/>
      <w:marRight w:val="0"/>
      <w:marTop w:val="0"/>
      <w:marBottom w:val="0"/>
      <w:divBdr>
        <w:top w:val="none" w:sz="0" w:space="0" w:color="auto"/>
        <w:left w:val="none" w:sz="0" w:space="0" w:color="auto"/>
        <w:bottom w:val="none" w:sz="0" w:space="0" w:color="auto"/>
        <w:right w:val="none" w:sz="0" w:space="0" w:color="auto"/>
      </w:divBdr>
      <w:divsChild>
        <w:div w:id="707222774">
          <w:marLeft w:val="0"/>
          <w:marRight w:val="0"/>
          <w:marTop w:val="0"/>
          <w:marBottom w:val="0"/>
          <w:divBdr>
            <w:top w:val="none" w:sz="0" w:space="0" w:color="auto"/>
            <w:left w:val="none" w:sz="0" w:space="0" w:color="auto"/>
            <w:bottom w:val="none" w:sz="0" w:space="0" w:color="auto"/>
            <w:right w:val="none" w:sz="0" w:space="0" w:color="auto"/>
          </w:divBdr>
          <w:divsChild>
            <w:div w:id="1291545935">
              <w:marLeft w:val="0"/>
              <w:marRight w:val="0"/>
              <w:marTop w:val="0"/>
              <w:marBottom w:val="0"/>
              <w:divBdr>
                <w:top w:val="none" w:sz="0" w:space="0" w:color="auto"/>
                <w:left w:val="none" w:sz="0" w:space="0" w:color="auto"/>
                <w:bottom w:val="none" w:sz="0" w:space="0" w:color="auto"/>
                <w:right w:val="none" w:sz="0" w:space="0" w:color="auto"/>
              </w:divBdr>
              <w:divsChild>
                <w:div w:id="799808025">
                  <w:marLeft w:val="0"/>
                  <w:marRight w:val="0"/>
                  <w:marTop w:val="0"/>
                  <w:marBottom w:val="0"/>
                  <w:divBdr>
                    <w:top w:val="none" w:sz="0" w:space="0" w:color="auto"/>
                    <w:left w:val="none" w:sz="0" w:space="0" w:color="auto"/>
                    <w:bottom w:val="none" w:sz="0" w:space="0" w:color="auto"/>
                    <w:right w:val="none" w:sz="0" w:space="0" w:color="auto"/>
                  </w:divBdr>
                  <w:divsChild>
                    <w:div w:id="1470247193">
                      <w:marLeft w:val="0"/>
                      <w:marRight w:val="0"/>
                      <w:marTop w:val="0"/>
                      <w:marBottom w:val="0"/>
                      <w:divBdr>
                        <w:top w:val="none" w:sz="0" w:space="0" w:color="auto"/>
                        <w:left w:val="none" w:sz="0" w:space="0" w:color="auto"/>
                        <w:bottom w:val="none" w:sz="0" w:space="0" w:color="auto"/>
                        <w:right w:val="none" w:sz="0" w:space="0" w:color="auto"/>
                      </w:divBdr>
                      <w:divsChild>
                        <w:div w:id="1414277442">
                          <w:marLeft w:val="0"/>
                          <w:marRight w:val="0"/>
                          <w:marTop w:val="0"/>
                          <w:marBottom w:val="0"/>
                          <w:divBdr>
                            <w:top w:val="none" w:sz="0" w:space="0" w:color="auto"/>
                            <w:left w:val="none" w:sz="0" w:space="0" w:color="auto"/>
                            <w:bottom w:val="none" w:sz="0" w:space="0" w:color="auto"/>
                            <w:right w:val="none" w:sz="0" w:space="0" w:color="auto"/>
                          </w:divBdr>
                          <w:divsChild>
                            <w:div w:id="14408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984147">
      <w:bodyDiv w:val="1"/>
      <w:marLeft w:val="0"/>
      <w:marRight w:val="0"/>
      <w:marTop w:val="0"/>
      <w:marBottom w:val="0"/>
      <w:divBdr>
        <w:top w:val="none" w:sz="0" w:space="0" w:color="auto"/>
        <w:left w:val="none" w:sz="0" w:space="0" w:color="auto"/>
        <w:bottom w:val="none" w:sz="0" w:space="0" w:color="auto"/>
        <w:right w:val="none" w:sz="0" w:space="0" w:color="auto"/>
      </w:divBdr>
    </w:div>
    <w:div w:id="1065907874">
      <w:bodyDiv w:val="1"/>
      <w:marLeft w:val="0"/>
      <w:marRight w:val="0"/>
      <w:marTop w:val="0"/>
      <w:marBottom w:val="0"/>
      <w:divBdr>
        <w:top w:val="none" w:sz="0" w:space="0" w:color="auto"/>
        <w:left w:val="none" w:sz="0" w:space="0" w:color="auto"/>
        <w:bottom w:val="none" w:sz="0" w:space="0" w:color="auto"/>
        <w:right w:val="none" w:sz="0" w:space="0" w:color="auto"/>
      </w:divBdr>
    </w:div>
    <w:div w:id="1074355131">
      <w:bodyDiv w:val="1"/>
      <w:marLeft w:val="0"/>
      <w:marRight w:val="0"/>
      <w:marTop w:val="0"/>
      <w:marBottom w:val="0"/>
      <w:divBdr>
        <w:top w:val="none" w:sz="0" w:space="0" w:color="auto"/>
        <w:left w:val="none" w:sz="0" w:space="0" w:color="auto"/>
        <w:bottom w:val="none" w:sz="0" w:space="0" w:color="auto"/>
        <w:right w:val="none" w:sz="0" w:space="0" w:color="auto"/>
      </w:divBdr>
      <w:divsChild>
        <w:div w:id="1206139246">
          <w:marLeft w:val="0"/>
          <w:marRight w:val="0"/>
          <w:marTop w:val="0"/>
          <w:marBottom w:val="0"/>
          <w:divBdr>
            <w:top w:val="none" w:sz="0" w:space="0" w:color="auto"/>
            <w:left w:val="none" w:sz="0" w:space="0" w:color="auto"/>
            <w:bottom w:val="none" w:sz="0" w:space="0" w:color="auto"/>
            <w:right w:val="none" w:sz="0" w:space="0" w:color="auto"/>
          </w:divBdr>
        </w:div>
        <w:div w:id="2144150909">
          <w:marLeft w:val="0"/>
          <w:marRight w:val="0"/>
          <w:marTop w:val="0"/>
          <w:marBottom w:val="0"/>
          <w:divBdr>
            <w:top w:val="none" w:sz="0" w:space="0" w:color="auto"/>
            <w:left w:val="none" w:sz="0" w:space="0" w:color="auto"/>
            <w:bottom w:val="none" w:sz="0" w:space="0" w:color="auto"/>
            <w:right w:val="none" w:sz="0" w:space="0" w:color="auto"/>
          </w:divBdr>
        </w:div>
      </w:divsChild>
    </w:div>
    <w:div w:id="1089277970">
      <w:bodyDiv w:val="1"/>
      <w:marLeft w:val="0"/>
      <w:marRight w:val="0"/>
      <w:marTop w:val="0"/>
      <w:marBottom w:val="0"/>
      <w:divBdr>
        <w:top w:val="none" w:sz="0" w:space="0" w:color="auto"/>
        <w:left w:val="none" w:sz="0" w:space="0" w:color="auto"/>
        <w:bottom w:val="none" w:sz="0" w:space="0" w:color="auto"/>
        <w:right w:val="none" w:sz="0" w:space="0" w:color="auto"/>
      </w:divBdr>
    </w:div>
    <w:div w:id="1145201892">
      <w:bodyDiv w:val="1"/>
      <w:marLeft w:val="0"/>
      <w:marRight w:val="0"/>
      <w:marTop w:val="0"/>
      <w:marBottom w:val="0"/>
      <w:divBdr>
        <w:top w:val="none" w:sz="0" w:space="0" w:color="auto"/>
        <w:left w:val="none" w:sz="0" w:space="0" w:color="auto"/>
        <w:bottom w:val="none" w:sz="0" w:space="0" w:color="auto"/>
        <w:right w:val="none" w:sz="0" w:space="0" w:color="auto"/>
      </w:divBdr>
      <w:divsChild>
        <w:div w:id="1254359391">
          <w:marLeft w:val="0"/>
          <w:marRight w:val="0"/>
          <w:marTop w:val="0"/>
          <w:marBottom w:val="0"/>
          <w:divBdr>
            <w:top w:val="none" w:sz="0" w:space="0" w:color="auto"/>
            <w:left w:val="none" w:sz="0" w:space="0" w:color="auto"/>
            <w:bottom w:val="none" w:sz="0" w:space="0" w:color="auto"/>
            <w:right w:val="none" w:sz="0" w:space="0" w:color="auto"/>
          </w:divBdr>
          <w:divsChild>
            <w:div w:id="1831558980">
              <w:marLeft w:val="0"/>
              <w:marRight w:val="0"/>
              <w:marTop w:val="0"/>
              <w:marBottom w:val="0"/>
              <w:divBdr>
                <w:top w:val="none" w:sz="0" w:space="0" w:color="auto"/>
                <w:left w:val="none" w:sz="0" w:space="0" w:color="auto"/>
                <w:bottom w:val="none" w:sz="0" w:space="0" w:color="auto"/>
                <w:right w:val="none" w:sz="0" w:space="0" w:color="auto"/>
              </w:divBdr>
              <w:divsChild>
                <w:div w:id="1581789394">
                  <w:marLeft w:val="0"/>
                  <w:marRight w:val="0"/>
                  <w:marTop w:val="0"/>
                  <w:marBottom w:val="0"/>
                  <w:divBdr>
                    <w:top w:val="none" w:sz="0" w:space="0" w:color="auto"/>
                    <w:left w:val="none" w:sz="0" w:space="0" w:color="auto"/>
                    <w:bottom w:val="none" w:sz="0" w:space="0" w:color="auto"/>
                    <w:right w:val="none" w:sz="0" w:space="0" w:color="auto"/>
                  </w:divBdr>
                  <w:divsChild>
                    <w:div w:id="1519079252">
                      <w:marLeft w:val="0"/>
                      <w:marRight w:val="0"/>
                      <w:marTop w:val="0"/>
                      <w:marBottom w:val="0"/>
                      <w:divBdr>
                        <w:top w:val="none" w:sz="0" w:space="0" w:color="auto"/>
                        <w:left w:val="none" w:sz="0" w:space="0" w:color="auto"/>
                        <w:bottom w:val="none" w:sz="0" w:space="0" w:color="auto"/>
                        <w:right w:val="none" w:sz="0" w:space="0" w:color="auto"/>
                      </w:divBdr>
                      <w:divsChild>
                        <w:div w:id="1459184276">
                          <w:marLeft w:val="0"/>
                          <w:marRight w:val="0"/>
                          <w:marTop w:val="0"/>
                          <w:marBottom w:val="0"/>
                          <w:divBdr>
                            <w:top w:val="none" w:sz="0" w:space="0" w:color="auto"/>
                            <w:left w:val="none" w:sz="0" w:space="0" w:color="auto"/>
                            <w:bottom w:val="none" w:sz="0" w:space="0" w:color="auto"/>
                            <w:right w:val="none" w:sz="0" w:space="0" w:color="auto"/>
                          </w:divBdr>
                          <w:divsChild>
                            <w:div w:id="103962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803618">
      <w:bodyDiv w:val="1"/>
      <w:marLeft w:val="0"/>
      <w:marRight w:val="0"/>
      <w:marTop w:val="0"/>
      <w:marBottom w:val="0"/>
      <w:divBdr>
        <w:top w:val="none" w:sz="0" w:space="0" w:color="auto"/>
        <w:left w:val="none" w:sz="0" w:space="0" w:color="auto"/>
        <w:bottom w:val="none" w:sz="0" w:space="0" w:color="auto"/>
        <w:right w:val="none" w:sz="0" w:space="0" w:color="auto"/>
      </w:divBdr>
    </w:div>
    <w:div w:id="1217468508">
      <w:bodyDiv w:val="1"/>
      <w:marLeft w:val="0"/>
      <w:marRight w:val="0"/>
      <w:marTop w:val="0"/>
      <w:marBottom w:val="0"/>
      <w:divBdr>
        <w:top w:val="none" w:sz="0" w:space="0" w:color="auto"/>
        <w:left w:val="none" w:sz="0" w:space="0" w:color="auto"/>
        <w:bottom w:val="none" w:sz="0" w:space="0" w:color="auto"/>
        <w:right w:val="none" w:sz="0" w:space="0" w:color="auto"/>
      </w:divBdr>
      <w:divsChild>
        <w:div w:id="809517071">
          <w:marLeft w:val="0"/>
          <w:marRight w:val="0"/>
          <w:marTop w:val="0"/>
          <w:marBottom w:val="0"/>
          <w:divBdr>
            <w:top w:val="none" w:sz="0" w:space="0" w:color="auto"/>
            <w:left w:val="none" w:sz="0" w:space="0" w:color="auto"/>
            <w:bottom w:val="none" w:sz="0" w:space="0" w:color="auto"/>
            <w:right w:val="none" w:sz="0" w:space="0" w:color="auto"/>
          </w:divBdr>
          <w:divsChild>
            <w:div w:id="1077827074">
              <w:marLeft w:val="0"/>
              <w:marRight w:val="0"/>
              <w:marTop w:val="0"/>
              <w:marBottom w:val="0"/>
              <w:divBdr>
                <w:top w:val="none" w:sz="0" w:space="0" w:color="auto"/>
                <w:left w:val="none" w:sz="0" w:space="0" w:color="auto"/>
                <w:bottom w:val="none" w:sz="0" w:space="0" w:color="auto"/>
                <w:right w:val="none" w:sz="0" w:space="0" w:color="auto"/>
              </w:divBdr>
              <w:divsChild>
                <w:div w:id="307320062">
                  <w:marLeft w:val="0"/>
                  <w:marRight w:val="0"/>
                  <w:marTop w:val="0"/>
                  <w:marBottom w:val="0"/>
                  <w:divBdr>
                    <w:top w:val="none" w:sz="0" w:space="0" w:color="auto"/>
                    <w:left w:val="none" w:sz="0" w:space="0" w:color="auto"/>
                    <w:bottom w:val="none" w:sz="0" w:space="0" w:color="auto"/>
                    <w:right w:val="none" w:sz="0" w:space="0" w:color="auto"/>
                  </w:divBdr>
                  <w:divsChild>
                    <w:div w:id="1403747871">
                      <w:marLeft w:val="0"/>
                      <w:marRight w:val="0"/>
                      <w:marTop w:val="0"/>
                      <w:marBottom w:val="0"/>
                      <w:divBdr>
                        <w:top w:val="none" w:sz="0" w:space="0" w:color="auto"/>
                        <w:left w:val="none" w:sz="0" w:space="0" w:color="auto"/>
                        <w:bottom w:val="none" w:sz="0" w:space="0" w:color="auto"/>
                        <w:right w:val="none" w:sz="0" w:space="0" w:color="auto"/>
                      </w:divBdr>
                      <w:divsChild>
                        <w:div w:id="1052003289">
                          <w:marLeft w:val="0"/>
                          <w:marRight w:val="0"/>
                          <w:marTop w:val="0"/>
                          <w:marBottom w:val="0"/>
                          <w:divBdr>
                            <w:top w:val="none" w:sz="0" w:space="0" w:color="auto"/>
                            <w:left w:val="none" w:sz="0" w:space="0" w:color="auto"/>
                            <w:bottom w:val="none" w:sz="0" w:space="0" w:color="auto"/>
                            <w:right w:val="none" w:sz="0" w:space="0" w:color="auto"/>
                          </w:divBdr>
                          <w:divsChild>
                            <w:div w:id="8037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784584">
      <w:bodyDiv w:val="1"/>
      <w:marLeft w:val="0"/>
      <w:marRight w:val="0"/>
      <w:marTop w:val="0"/>
      <w:marBottom w:val="0"/>
      <w:divBdr>
        <w:top w:val="none" w:sz="0" w:space="0" w:color="auto"/>
        <w:left w:val="none" w:sz="0" w:space="0" w:color="auto"/>
        <w:bottom w:val="none" w:sz="0" w:space="0" w:color="auto"/>
        <w:right w:val="none" w:sz="0" w:space="0" w:color="auto"/>
      </w:divBdr>
    </w:div>
    <w:div w:id="1392189874">
      <w:bodyDiv w:val="1"/>
      <w:marLeft w:val="0"/>
      <w:marRight w:val="0"/>
      <w:marTop w:val="0"/>
      <w:marBottom w:val="0"/>
      <w:divBdr>
        <w:top w:val="none" w:sz="0" w:space="0" w:color="auto"/>
        <w:left w:val="none" w:sz="0" w:space="0" w:color="auto"/>
        <w:bottom w:val="none" w:sz="0" w:space="0" w:color="auto"/>
        <w:right w:val="none" w:sz="0" w:space="0" w:color="auto"/>
      </w:divBdr>
    </w:div>
    <w:div w:id="1411997530">
      <w:bodyDiv w:val="1"/>
      <w:marLeft w:val="0"/>
      <w:marRight w:val="0"/>
      <w:marTop w:val="0"/>
      <w:marBottom w:val="0"/>
      <w:divBdr>
        <w:top w:val="none" w:sz="0" w:space="0" w:color="auto"/>
        <w:left w:val="none" w:sz="0" w:space="0" w:color="auto"/>
        <w:bottom w:val="none" w:sz="0" w:space="0" w:color="auto"/>
        <w:right w:val="none" w:sz="0" w:space="0" w:color="auto"/>
      </w:divBdr>
      <w:divsChild>
        <w:div w:id="2097434467">
          <w:marLeft w:val="0"/>
          <w:marRight w:val="0"/>
          <w:marTop w:val="0"/>
          <w:marBottom w:val="0"/>
          <w:divBdr>
            <w:top w:val="none" w:sz="0" w:space="0" w:color="auto"/>
            <w:left w:val="none" w:sz="0" w:space="0" w:color="auto"/>
            <w:bottom w:val="none" w:sz="0" w:space="0" w:color="auto"/>
            <w:right w:val="none" w:sz="0" w:space="0" w:color="auto"/>
          </w:divBdr>
          <w:divsChild>
            <w:div w:id="1546747002">
              <w:marLeft w:val="0"/>
              <w:marRight w:val="0"/>
              <w:marTop w:val="0"/>
              <w:marBottom w:val="0"/>
              <w:divBdr>
                <w:top w:val="none" w:sz="0" w:space="0" w:color="auto"/>
                <w:left w:val="none" w:sz="0" w:space="0" w:color="auto"/>
                <w:bottom w:val="none" w:sz="0" w:space="0" w:color="auto"/>
                <w:right w:val="none" w:sz="0" w:space="0" w:color="auto"/>
              </w:divBdr>
              <w:divsChild>
                <w:div w:id="684745487">
                  <w:marLeft w:val="0"/>
                  <w:marRight w:val="0"/>
                  <w:marTop w:val="0"/>
                  <w:marBottom w:val="0"/>
                  <w:divBdr>
                    <w:top w:val="none" w:sz="0" w:space="0" w:color="auto"/>
                    <w:left w:val="none" w:sz="0" w:space="0" w:color="auto"/>
                    <w:bottom w:val="none" w:sz="0" w:space="0" w:color="auto"/>
                    <w:right w:val="none" w:sz="0" w:space="0" w:color="auto"/>
                  </w:divBdr>
                  <w:divsChild>
                    <w:div w:id="564996957">
                      <w:marLeft w:val="0"/>
                      <w:marRight w:val="0"/>
                      <w:marTop w:val="0"/>
                      <w:marBottom w:val="0"/>
                      <w:divBdr>
                        <w:top w:val="none" w:sz="0" w:space="0" w:color="auto"/>
                        <w:left w:val="none" w:sz="0" w:space="0" w:color="auto"/>
                        <w:bottom w:val="none" w:sz="0" w:space="0" w:color="auto"/>
                        <w:right w:val="none" w:sz="0" w:space="0" w:color="auto"/>
                      </w:divBdr>
                      <w:divsChild>
                        <w:div w:id="1757022239">
                          <w:marLeft w:val="0"/>
                          <w:marRight w:val="0"/>
                          <w:marTop w:val="0"/>
                          <w:marBottom w:val="0"/>
                          <w:divBdr>
                            <w:top w:val="none" w:sz="0" w:space="0" w:color="auto"/>
                            <w:left w:val="none" w:sz="0" w:space="0" w:color="auto"/>
                            <w:bottom w:val="none" w:sz="0" w:space="0" w:color="auto"/>
                            <w:right w:val="none" w:sz="0" w:space="0" w:color="auto"/>
                          </w:divBdr>
                          <w:divsChild>
                            <w:div w:id="118459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84811">
      <w:bodyDiv w:val="1"/>
      <w:marLeft w:val="0"/>
      <w:marRight w:val="0"/>
      <w:marTop w:val="0"/>
      <w:marBottom w:val="0"/>
      <w:divBdr>
        <w:top w:val="none" w:sz="0" w:space="0" w:color="auto"/>
        <w:left w:val="none" w:sz="0" w:space="0" w:color="auto"/>
        <w:bottom w:val="none" w:sz="0" w:space="0" w:color="auto"/>
        <w:right w:val="none" w:sz="0" w:space="0" w:color="auto"/>
      </w:divBdr>
      <w:divsChild>
        <w:div w:id="1005742673">
          <w:marLeft w:val="0"/>
          <w:marRight w:val="0"/>
          <w:marTop w:val="0"/>
          <w:marBottom w:val="0"/>
          <w:divBdr>
            <w:top w:val="none" w:sz="0" w:space="0" w:color="auto"/>
            <w:left w:val="none" w:sz="0" w:space="0" w:color="auto"/>
            <w:bottom w:val="none" w:sz="0" w:space="0" w:color="auto"/>
            <w:right w:val="none" w:sz="0" w:space="0" w:color="auto"/>
          </w:divBdr>
          <w:divsChild>
            <w:div w:id="186915927">
              <w:marLeft w:val="0"/>
              <w:marRight w:val="0"/>
              <w:marTop w:val="0"/>
              <w:marBottom w:val="0"/>
              <w:divBdr>
                <w:top w:val="none" w:sz="0" w:space="0" w:color="auto"/>
                <w:left w:val="none" w:sz="0" w:space="0" w:color="auto"/>
                <w:bottom w:val="none" w:sz="0" w:space="0" w:color="auto"/>
                <w:right w:val="none" w:sz="0" w:space="0" w:color="auto"/>
              </w:divBdr>
              <w:divsChild>
                <w:div w:id="103161565">
                  <w:marLeft w:val="0"/>
                  <w:marRight w:val="0"/>
                  <w:marTop w:val="0"/>
                  <w:marBottom w:val="0"/>
                  <w:divBdr>
                    <w:top w:val="none" w:sz="0" w:space="0" w:color="auto"/>
                    <w:left w:val="none" w:sz="0" w:space="0" w:color="auto"/>
                    <w:bottom w:val="none" w:sz="0" w:space="0" w:color="auto"/>
                    <w:right w:val="none" w:sz="0" w:space="0" w:color="auto"/>
                  </w:divBdr>
                  <w:divsChild>
                    <w:div w:id="545063709">
                      <w:marLeft w:val="0"/>
                      <w:marRight w:val="0"/>
                      <w:marTop w:val="0"/>
                      <w:marBottom w:val="0"/>
                      <w:divBdr>
                        <w:top w:val="none" w:sz="0" w:space="0" w:color="auto"/>
                        <w:left w:val="none" w:sz="0" w:space="0" w:color="auto"/>
                        <w:bottom w:val="none" w:sz="0" w:space="0" w:color="auto"/>
                        <w:right w:val="none" w:sz="0" w:space="0" w:color="auto"/>
                      </w:divBdr>
                      <w:divsChild>
                        <w:div w:id="2060666595">
                          <w:marLeft w:val="0"/>
                          <w:marRight w:val="0"/>
                          <w:marTop w:val="0"/>
                          <w:marBottom w:val="0"/>
                          <w:divBdr>
                            <w:top w:val="none" w:sz="0" w:space="0" w:color="auto"/>
                            <w:left w:val="none" w:sz="0" w:space="0" w:color="auto"/>
                            <w:bottom w:val="none" w:sz="0" w:space="0" w:color="auto"/>
                            <w:right w:val="none" w:sz="0" w:space="0" w:color="auto"/>
                          </w:divBdr>
                          <w:divsChild>
                            <w:div w:id="203988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173318">
      <w:bodyDiv w:val="1"/>
      <w:marLeft w:val="0"/>
      <w:marRight w:val="0"/>
      <w:marTop w:val="0"/>
      <w:marBottom w:val="0"/>
      <w:divBdr>
        <w:top w:val="none" w:sz="0" w:space="0" w:color="auto"/>
        <w:left w:val="none" w:sz="0" w:space="0" w:color="auto"/>
        <w:bottom w:val="none" w:sz="0" w:space="0" w:color="auto"/>
        <w:right w:val="none" w:sz="0" w:space="0" w:color="auto"/>
      </w:divBdr>
      <w:divsChild>
        <w:div w:id="842353309">
          <w:marLeft w:val="0"/>
          <w:marRight w:val="0"/>
          <w:marTop w:val="0"/>
          <w:marBottom w:val="0"/>
          <w:divBdr>
            <w:top w:val="none" w:sz="0" w:space="0" w:color="auto"/>
            <w:left w:val="none" w:sz="0" w:space="0" w:color="auto"/>
            <w:bottom w:val="none" w:sz="0" w:space="0" w:color="auto"/>
            <w:right w:val="none" w:sz="0" w:space="0" w:color="auto"/>
          </w:divBdr>
          <w:divsChild>
            <w:div w:id="1308902950">
              <w:marLeft w:val="0"/>
              <w:marRight w:val="0"/>
              <w:marTop w:val="0"/>
              <w:marBottom w:val="0"/>
              <w:divBdr>
                <w:top w:val="none" w:sz="0" w:space="0" w:color="auto"/>
                <w:left w:val="none" w:sz="0" w:space="0" w:color="auto"/>
                <w:bottom w:val="none" w:sz="0" w:space="0" w:color="auto"/>
                <w:right w:val="none" w:sz="0" w:space="0" w:color="auto"/>
              </w:divBdr>
              <w:divsChild>
                <w:div w:id="779950721">
                  <w:marLeft w:val="0"/>
                  <w:marRight w:val="0"/>
                  <w:marTop w:val="0"/>
                  <w:marBottom w:val="0"/>
                  <w:divBdr>
                    <w:top w:val="none" w:sz="0" w:space="0" w:color="auto"/>
                    <w:left w:val="none" w:sz="0" w:space="0" w:color="auto"/>
                    <w:bottom w:val="none" w:sz="0" w:space="0" w:color="auto"/>
                    <w:right w:val="none" w:sz="0" w:space="0" w:color="auto"/>
                  </w:divBdr>
                  <w:divsChild>
                    <w:div w:id="1660965254">
                      <w:marLeft w:val="0"/>
                      <w:marRight w:val="0"/>
                      <w:marTop w:val="0"/>
                      <w:marBottom w:val="0"/>
                      <w:divBdr>
                        <w:top w:val="none" w:sz="0" w:space="0" w:color="auto"/>
                        <w:left w:val="none" w:sz="0" w:space="0" w:color="auto"/>
                        <w:bottom w:val="none" w:sz="0" w:space="0" w:color="auto"/>
                        <w:right w:val="none" w:sz="0" w:space="0" w:color="auto"/>
                      </w:divBdr>
                      <w:divsChild>
                        <w:div w:id="892959054">
                          <w:marLeft w:val="0"/>
                          <w:marRight w:val="0"/>
                          <w:marTop w:val="0"/>
                          <w:marBottom w:val="0"/>
                          <w:divBdr>
                            <w:top w:val="none" w:sz="0" w:space="0" w:color="auto"/>
                            <w:left w:val="none" w:sz="0" w:space="0" w:color="auto"/>
                            <w:bottom w:val="none" w:sz="0" w:space="0" w:color="auto"/>
                            <w:right w:val="none" w:sz="0" w:space="0" w:color="auto"/>
                          </w:divBdr>
                          <w:divsChild>
                            <w:div w:id="19888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165200">
      <w:bodyDiv w:val="1"/>
      <w:marLeft w:val="0"/>
      <w:marRight w:val="0"/>
      <w:marTop w:val="0"/>
      <w:marBottom w:val="0"/>
      <w:divBdr>
        <w:top w:val="none" w:sz="0" w:space="0" w:color="auto"/>
        <w:left w:val="none" w:sz="0" w:space="0" w:color="auto"/>
        <w:bottom w:val="none" w:sz="0" w:space="0" w:color="auto"/>
        <w:right w:val="none" w:sz="0" w:space="0" w:color="auto"/>
      </w:divBdr>
    </w:div>
    <w:div w:id="1746143187">
      <w:bodyDiv w:val="1"/>
      <w:marLeft w:val="0"/>
      <w:marRight w:val="0"/>
      <w:marTop w:val="0"/>
      <w:marBottom w:val="0"/>
      <w:divBdr>
        <w:top w:val="none" w:sz="0" w:space="0" w:color="auto"/>
        <w:left w:val="none" w:sz="0" w:space="0" w:color="auto"/>
        <w:bottom w:val="none" w:sz="0" w:space="0" w:color="auto"/>
        <w:right w:val="none" w:sz="0" w:space="0" w:color="auto"/>
      </w:divBdr>
    </w:div>
    <w:div w:id="1751924877">
      <w:bodyDiv w:val="1"/>
      <w:marLeft w:val="0"/>
      <w:marRight w:val="0"/>
      <w:marTop w:val="0"/>
      <w:marBottom w:val="0"/>
      <w:divBdr>
        <w:top w:val="none" w:sz="0" w:space="0" w:color="auto"/>
        <w:left w:val="none" w:sz="0" w:space="0" w:color="auto"/>
        <w:bottom w:val="none" w:sz="0" w:space="0" w:color="auto"/>
        <w:right w:val="none" w:sz="0" w:space="0" w:color="auto"/>
      </w:divBdr>
    </w:div>
    <w:div w:id="1756513567">
      <w:bodyDiv w:val="1"/>
      <w:marLeft w:val="0"/>
      <w:marRight w:val="0"/>
      <w:marTop w:val="0"/>
      <w:marBottom w:val="0"/>
      <w:divBdr>
        <w:top w:val="none" w:sz="0" w:space="0" w:color="auto"/>
        <w:left w:val="none" w:sz="0" w:space="0" w:color="auto"/>
        <w:bottom w:val="none" w:sz="0" w:space="0" w:color="auto"/>
        <w:right w:val="none" w:sz="0" w:space="0" w:color="auto"/>
      </w:divBdr>
      <w:divsChild>
        <w:div w:id="1179462468">
          <w:marLeft w:val="0"/>
          <w:marRight w:val="0"/>
          <w:marTop w:val="0"/>
          <w:marBottom w:val="0"/>
          <w:divBdr>
            <w:top w:val="none" w:sz="0" w:space="0" w:color="auto"/>
            <w:left w:val="none" w:sz="0" w:space="0" w:color="auto"/>
            <w:bottom w:val="none" w:sz="0" w:space="0" w:color="auto"/>
            <w:right w:val="none" w:sz="0" w:space="0" w:color="auto"/>
          </w:divBdr>
          <w:divsChild>
            <w:div w:id="1235437528">
              <w:marLeft w:val="0"/>
              <w:marRight w:val="0"/>
              <w:marTop w:val="0"/>
              <w:marBottom w:val="0"/>
              <w:divBdr>
                <w:top w:val="none" w:sz="0" w:space="0" w:color="auto"/>
                <w:left w:val="none" w:sz="0" w:space="0" w:color="auto"/>
                <w:bottom w:val="none" w:sz="0" w:space="0" w:color="auto"/>
                <w:right w:val="none" w:sz="0" w:space="0" w:color="auto"/>
              </w:divBdr>
              <w:divsChild>
                <w:div w:id="1833527285">
                  <w:marLeft w:val="0"/>
                  <w:marRight w:val="0"/>
                  <w:marTop w:val="0"/>
                  <w:marBottom w:val="0"/>
                  <w:divBdr>
                    <w:top w:val="none" w:sz="0" w:space="0" w:color="auto"/>
                    <w:left w:val="none" w:sz="0" w:space="0" w:color="auto"/>
                    <w:bottom w:val="none" w:sz="0" w:space="0" w:color="auto"/>
                    <w:right w:val="none" w:sz="0" w:space="0" w:color="auto"/>
                  </w:divBdr>
                  <w:divsChild>
                    <w:div w:id="1519463146">
                      <w:marLeft w:val="0"/>
                      <w:marRight w:val="0"/>
                      <w:marTop w:val="0"/>
                      <w:marBottom w:val="0"/>
                      <w:divBdr>
                        <w:top w:val="none" w:sz="0" w:space="0" w:color="auto"/>
                        <w:left w:val="none" w:sz="0" w:space="0" w:color="auto"/>
                        <w:bottom w:val="none" w:sz="0" w:space="0" w:color="auto"/>
                        <w:right w:val="none" w:sz="0" w:space="0" w:color="auto"/>
                      </w:divBdr>
                      <w:divsChild>
                        <w:div w:id="1171216472">
                          <w:marLeft w:val="0"/>
                          <w:marRight w:val="0"/>
                          <w:marTop w:val="0"/>
                          <w:marBottom w:val="0"/>
                          <w:divBdr>
                            <w:top w:val="none" w:sz="0" w:space="0" w:color="auto"/>
                            <w:left w:val="none" w:sz="0" w:space="0" w:color="auto"/>
                            <w:bottom w:val="none" w:sz="0" w:space="0" w:color="auto"/>
                            <w:right w:val="none" w:sz="0" w:space="0" w:color="auto"/>
                          </w:divBdr>
                          <w:divsChild>
                            <w:div w:id="188293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1025</TotalTime>
  <Pages>5</Pages>
  <Words>2930</Words>
  <Characters>16706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M. Alizzi</dc:creator>
  <cp:keywords/>
  <dc:description/>
  <cp:lastModifiedBy>Fatima M. Alizzi</cp:lastModifiedBy>
  <cp:revision>13</cp:revision>
  <cp:lastPrinted>2018-09-01T15:03:00Z</cp:lastPrinted>
  <dcterms:created xsi:type="dcterms:W3CDTF">2017-03-07T22:22:00Z</dcterms:created>
  <dcterms:modified xsi:type="dcterms:W3CDTF">2018-09-01T15:28:00Z</dcterms:modified>
</cp:coreProperties>
</file>